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73A" w:rsidRPr="0077673A" w:rsidRDefault="0077673A" w:rsidP="0077673A">
      <w:pPr>
        <w:pStyle w:val="NormalWeb"/>
        <w:jc w:val="both"/>
        <w:rPr>
          <w:rFonts w:ascii="Verdana" w:hAnsi="Verdana"/>
          <w:sz w:val="20"/>
          <w:szCs w:val="20"/>
        </w:rPr>
      </w:pPr>
      <w:r w:rsidRPr="0077673A">
        <w:rPr>
          <w:rStyle w:val="Textoennegrita"/>
          <w:rFonts w:ascii="Verdana" w:hAnsi="Verdana"/>
          <w:sz w:val="20"/>
          <w:szCs w:val="20"/>
        </w:rPr>
        <w:t xml:space="preserve">Texto vigente publicado en el Diario Oficial de la Federación el </w:t>
      </w:r>
      <w:r w:rsidR="0086768A">
        <w:rPr>
          <w:rStyle w:val="Textoennegrita"/>
          <w:rFonts w:ascii="Verdana" w:hAnsi="Verdana"/>
          <w:sz w:val="20"/>
          <w:szCs w:val="20"/>
        </w:rPr>
        <w:t>3</w:t>
      </w:r>
      <w:r w:rsidRPr="0077673A">
        <w:rPr>
          <w:rStyle w:val="Textoennegrita"/>
          <w:rFonts w:ascii="Verdana" w:hAnsi="Verdana"/>
          <w:sz w:val="20"/>
          <w:szCs w:val="20"/>
        </w:rPr>
        <w:t xml:space="preserve">0 de </w:t>
      </w:r>
      <w:r w:rsidR="0086768A">
        <w:rPr>
          <w:rStyle w:val="Textoennegrita"/>
          <w:rFonts w:ascii="Verdana" w:hAnsi="Verdana"/>
          <w:sz w:val="20"/>
          <w:szCs w:val="20"/>
        </w:rPr>
        <w:t>septiembre</w:t>
      </w:r>
      <w:r w:rsidR="001A4962">
        <w:rPr>
          <w:rStyle w:val="Textoennegrita"/>
          <w:rFonts w:ascii="Verdana" w:hAnsi="Verdana"/>
          <w:sz w:val="20"/>
          <w:szCs w:val="20"/>
        </w:rPr>
        <w:t xml:space="preserve"> de 2011</w:t>
      </w:r>
      <w:bookmarkStart w:id="0" w:name="_GoBack"/>
      <w:bookmarkEnd w:id="0"/>
      <w:r w:rsidRPr="0077673A">
        <w:rPr>
          <w:rStyle w:val="Textoennegrita"/>
          <w:rFonts w:ascii="Verdana" w:hAnsi="Verdana"/>
          <w:sz w:val="20"/>
          <w:szCs w:val="20"/>
        </w:rPr>
        <w:t xml:space="preserve">. </w:t>
      </w:r>
    </w:p>
    <w:tbl>
      <w:tblPr>
        <w:tblW w:w="5001" w:type="pct"/>
        <w:jc w:val="center"/>
        <w:tblCellSpacing w:w="0" w:type="dxa"/>
        <w:tblCellMar>
          <w:left w:w="0" w:type="dxa"/>
          <w:right w:w="0" w:type="dxa"/>
        </w:tblCellMar>
        <w:tblLook w:val="04A0" w:firstRow="1" w:lastRow="0" w:firstColumn="1" w:lastColumn="0" w:noHBand="0" w:noVBand="1"/>
      </w:tblPr>
      <w:tblGrid>
        <w:gridCol w:w="8826"/>
        <w:gridCol w:w="7"/>
        <w:gridCol w:w="7"/>
      </w:tblGrid>
      <w:tr w:rsidR="0077673A" w:rsidRPr="0077673A" w:rsidTr="0077673A">
        <w:trPr>
          <w:gridAfter w:val="2"/>
          <w:wAfter w:w="8" w:type="pct"/>
          <w:tblCellSpacing w:w="0" w:type="dxa"/>
          <w:jc w:val="center"/>
        </w:trPr>
        <w:tc>
          <w:tcPr>
            <w:tcW w:w="4992" w:type="pct"/>
            <w:vAlign w:val="center"/>
            <w:hideMark/>
          </w:tcPr>
          <w:p w:rsidR="0077673A" w:rsidRPr="0077673A" w:rsidRDefault="0077673A" w:rsidP="0077673A">
            <w:pPr>
              <w:spacing w:after="0" w:line="240" w:lineRule="auto"/>
              <w:jc w:val="center"/>
              <w:rPr>
                <w:rFonts w:ascii="Verdana" w:eastAsia="Times New Roman" w:hAnsi="Verdana" w:cs="Times New Roman"/>
                <w:b/>
                <w:bCs/>
                <w:color w:val="333333"/>
                <w:sz w:val="20"/>
                <w:szCs w:val="20"/>
                <w:lang w:eastAsia="es-MX"/>
              </w:rPr>
            </w:pPr>
            <w:bookmarkStart w:id="1" w:name="pr1"/>
            <w:bookmarkEnd w:id="1"/>
            <w:r w:rsidRPr="0077673A">
              <w:rPr>
                <w:rFonts w:ascii="Verdana" w:eastAsia="Times New Roman" w:hAnsi="Verdana" w:cs="Times New Roman"/>
                <w:b/>
                <w:bCs/>
                <w:color w:val="333333"/>
                <w:sz w:val="20"/>
                <w:szCs w:val="20"/>
                <w:lang w:eastAsia="es-MX"/>
              </w:rPr>
              <w:t xml:space="preserve">Capítulo I </w:t>
            </w:r>
            <w:r w:rsidRPr="0077673A">
              <w:rPr>
                <w:rFonts w:ascii="Verdana" w:eastAsia="Times New Roman" w:hAnsi="Verdana" w:cs="Times New Roman"/>
                <w:b/>
                <w:bCs/>
                <w:color w:val="333333"/>
                <w:sz w:val="20"/>
                <w:szCs w:val="20"/>
                <w:lang w:eastAsia="es-MX"/>
              </w:rPr>
              <w:br/>
              <w:t>Disposiciones Generales</w:t>
            </w:r>
          </w:p>
          <w:p w:rsidR="0077673A" w:rsidRPr="0077673A" w:rsidRDefault="0077673A" w:rsidP="0077673A">
            <w:pPr>
              <w:spacing w:after="0" w:line="240" w:lineRule="auto"/>
              <w:jc w:val="center"/>
              <w:rPr>
                <w:rFonts w:ascii="Verdana" w:eastAsia="Times New Roman" w:hAnsi="Verdana" w:cs="Times New Roman"/>
                <w:color w:val="333333"/>
                <w:sz w:val="20"/>
                <w:szCs w:val="20"/>
                <w:lang w:eastAsia="es-MX"/>
              </w:rPr>
            </w:pPr>
          </w:p>
        </w:tc>
      </w:tr>
      <w:tr w:rsidR="0077673A" w:rsidRPr="0077673A" w:rsidTr="0077673A">
        <w:trPr>
          <w:gridAfter w:val="2"/>
          <w:wAfter w:w="8" w:type="pct"/>
          <w:tblCellSpacing w:w="0" w:type="dxa"/>
          <w:jc w:val="center"/>
        </w:trPr>
        <w:tc>
          <w:tcPr>
            <w:tcW w:w="4992" w:type="pct"/>
            <w:vAlign w:val="center"/>
            <w:hideMark/>
          </w:tcPr>
          <w:p w:rsidR="0077673A" w:rsidRPr="0077673A" w:rsidRDefault="0077673A" w:rsidP="0077673A">
            <w:pPr>
              <w:spacing w:after="0" w:line="240" w:lineRule="auto"/>
              <w:jc w:val="both"/>
              <w:rPr>
                <w:rFonts w:ascii="Verdana" w:eastAsia="Times New Roman" w:hAnsi="Verdana" w:cs="Times New Roman"/>
                <w:color w:val="333333"/>
                <w:sz w:val="20"/>
                <w:szCs w:val="20"/>
                <w:lang w:eastAsia="es-MX"/>
              </w:rPr>
            </w:pPr>
          </w:p>
        </w:tc>
      </w:tr>
      <w:tr w:rsidR="0077673A" w:rsidRPr="0077673A" w:rsidTr="0077673A">
        <w:trPr>
          <w:gridAfter w:val="2"/>
          <w:wAfter w:w="8" w:type="pct"/>
          <w:tblCellSpacing w:w="0" w:type="dxa"/>
          <w:jc w:val="center"/>
        </w:trPr>
        <w:tc>
          <w:tcPr>
            <w:tcW w:w="4992" w:type="pct"/>
            <w:vAlign w:val="center"/>
            <w:hideMark/>
          </w:tcPr>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primero.- </w:t>
            </w:r>
            <w:r w:rsidRPr="0077673A">
              <w:rPr>
                <w:rFonts w:ascii="Verdana" w:eastAsia="Times New Roman" w:hAnsi="Verdana" w:cs="Times New Roman"/>
                <w:color w:val="333333"/>
                <w:sz w:val="20"/>
                <w:szCs w:val="20"/>
                <w:lang w:eastAsia="es-MX"/>
              </w:rPr>
              <w:t>El presente Reglamento tiene por objeto regular la modalidad de participación en los concursos y sorteos que realiza Pronósticos para la Asistencia Pública a través de dispositivos electrónicos, denominada Pronósticos Interactivos, de conformidad con las disposiciones aplicables.</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 xml:space="preserve">(Modificado mediante reforma publicado en el Diario Oficial de la Federación el día 29 de febrero de 2008)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Artículo segundo.-</w:t>
            </w:r>
            <w:r w:rsidRPr="0077673A">
              <w:rPr>
                <w:rFonts w:ascii="Verdana" w:eastAsia="Times New Roman" w:hAnsi="Verdana" w:cs="Times New Roman"/>
                <w:color w:val="333333"/>
                <w:sz w:val="20"/>
                <w:szCs w:val="20"/>
                <w:lang w:eastAsia="es-MX"/>
              </w:rPr>
              <w:t xml:space="preserve"> Se denominará Pronósticos Interactivos al boleto que es generado por un dispositivo electrónico para un concurso o sorteo determinado y sus resultados.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29 de febrero de 2008)</w:t>
            </w:r>
          </w:p>
          <w:p w:rsidR="0077673A" w:rsidRPr="0077673A" w:rsidRDefault="0086768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b/>
                <w:sz w:val="20"/>
                <w:szCs w:val="20"/>
              </w:rPr>
              <w:t>Artículo tercero.-</w:t>
            </w:r>
            <w:r w:rsidRPr="0011572A">
              <w:rPr>
                <w:rFonts w:ascii="Verdana" w:hAnsi="Verdana" w:cs="Arial"/>
                <w:sz w:val="20"/>
                <w:szCs w:val="20"/>
              </w:rPr>
              <w:t xml:space="preserve"> Los Pronósticos Interactivos consisten en la selección que haga el concursante a través de un dispositivo electrónico distinto a las terminales tradicionales utilizadas por los Comercializadores, de una combinación de pronósticos deportivos, numéricos, de símbolos y/o figuras; así como la selección de un boleto virtual </w:t>
            </w:r>
            <w:proofErr w:type="spellStart"/>
            <w:r w:rsidRPr="0011572A">
              <w:rPr>
                <w:rFonts w:ascii="Verdana" w:hAnsi="Verdana" w:cs="Arial"/>
                <w:sz w:val="20"/>
                <w:szCs w:val="20"/>
              </w:rPr>
              <w:t>presorteado</w:t>
            </w:r>
            <w:proofErr w:type="spellEnd"/>
            <w:r w:rsidRPr="0011572A">
              <w:rPr>
                <w:rFonts w:ascii="Verdana" w:hAnsi="Verdana" w:cs="Arial"/>
                <w:sz w:val="20"/>
                <w:szCs w:val="20"/>
              </w:rPr>
              <w:t xml:space="preserve"> cubierto con una película que oculta el resultado de ser o no ganador, tomado del conjunto que determine Pronósticos para la Asistencia Pública para un concurso o sorteo determinado, previo pago correspondiente a través de las modalidades de tarjeta </w:t>
            </w:r>
            <w:proofErr w:type="spellStart"/>
            <w:r w:rsidRPr="0011572A">
              <w:rPr>
                <w:rFonts w:ascii="Verdana" w:hAnsi="Verdana" w:cs="Arial"/>
                <w:sz w:val="20"/>
                <w:szCs w:val="20"/>
              </w:rPr>
              <w:t>prepagada</w:t>
            </w:r>
            <w:proofErr w:type="spellEnd"/>
            <w:r w:rsidRPr="0011572A">
              <w:rPr>
                <w:rFonts w:ascii="Verdana" w:hAnsi="Verdana" w:cs="Arial"/>
                <w:sz w:val="20"/>
                <w:szCs w:val="20"/>
              </w:rPr>
              <w:t>, tarjetas bancarias de débito o crédito, banca electrónica, cuenta virtual o monedero electrónico, y que le dará derecho a participar en el concurso o sorteo y a obtener, en el supuesto de que los números sorteados o bien los resultados deportivos correspondan a la selección que hubiere hecho, premios en efectivo en los términos del Reglamento del concurso o sorteo de que se trate.</w:t>
            </w:r>
            <w:r w:rsidR="0077673A" w:rsidRPr="0077673A">
              <w:rPr>
                <w:rFonts w:ascii="Verdana" w:eastAsia="Times New Roman" w:hAnsi="Verdana" w:cs="Times New Roman"/>
                <w:color w:val="333333"/>
                <w:sz w:val="20"/>
                <w:szCs w:val="20"/>
                <w:lang w:eastAsia="es-MX"/>
              </w:rPr>
              <w:t xml:space="preserve"> </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29 de febrero de 2008)</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20 de mayo de 2009)</w:t>
            </w:r>
          </w:p>
          <w:p w:rsidR="0086768A" w:rsidRPr="0077673A" w:rsidRDefault="0086768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 w:anchor="cm24" w:history="1">
              <w:r w:rsidRPr="008D701D">
                <w:rPr>
                  <w:rFonts w:ascii="Verdana" w:eastAsia="Times New Roman" w:hAnsi="Verdana" w:cs="Times New Roman"/>
                  <w:color w:val="006666"/>
                  <w:sz w:val="20"/>
                  <w:szCs w:val="20"/>
                  <w:u w:val="single"/>
                  <w:lang w:eastAsia="es-MX"/>
                </w:rPr>
                <w:t>(Modificado mediante reforma publicado en el Diario Oficial de la Federación</w:t>
              </w:r>
              <w:r>
                <w:rPr>
                  <w:rFonts w:ascii="Verdana" w:eastAsia="Times New Roman" w:hAnsi="Verdana" w:cs="Times New Roman"/>
                  <w:color w:val="006666"/>
                  <w:sz w:val="20"/>
                  <w:szCs w:val="20"/>
                  <w:u w:val="single"/>
                  <w:lang w:eastAsia="es-MX"/>
                </w:rPr>
                <w:t xml:space="preserve"> el día 30 de septiembre de 2011</w:t>
              </w:r>
              <w:r w:rsidRPr="008D701D">
                <w:rPr>
                  <w:rFonts w:ascii="Verdana" w:eastAsia="Times New Roman" w:hAnsi="Verdana" w:cs="Times New Roman"/>
                  <w:color w:val="006666"/>
                  <w:sz w:val="20"/>
                  <w:szCs w:val="20"/>
                  <w:u w:val="single"/>
                  <w:lang w:eastAsia="es-MX"/>
                </w:rPr>
                <w:t>)</w:t>
              </w:r>
            </w:hyperlink>
          </w:p>
          <w:p w:rsidR="0086768A" w:rsidRPr="0011572A" w:rsidRDefault="0086768A" w:rsidP="0086768A">
            <w:pPr>
              <w:jc w:val="both"/>
              <w:rPr>
                <w:rFonts w:ascii="Verdana" w:hAnsi="Verdana" w:cs="Arial"/>
                <w:sz w:val="20"/>
                <w:szCs w:val="20"/>
              </w:rPr>
            </w:pPr>
            <w:r w:rsidRPr="0011572A">
              <w:rPr>
                <w:rFonts w:ascii="Verdana" w:hAnsi="Verdana" w:cs="Arial"/>
                <w:b/>
                <w:sz w:val="20"/>
                <w:szCs w:val="20"/>
              </w:rPr>
              <w:t>Artículo cuarto.-</w:t>
            </w:r>
            <w:r w:rsidRPr="0011572A">
              <w:rPr>
                <w:rFonts w:ascii="Verdana" w:hAnsi="Verdana" w:cs="Arial"/>
                <w:sz w:val="20"/>
                <w:szCs w:val="20"/>
              </w:rPr>
              <w:t xml:space="preserve"> Para los efectos de este Reglamento, se entenderá por:</w:t>
            </w:r>
          </w:p>
          <w:p w:rsidR="0077673A" w:rsidRPr="0077673A" w:rsidRDefault="0086768A" w:rsidP="0086768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6768A">
              <w:rPr>
                <w:rFonts w:ascii="Verdana" w:hAnsi="Verdana" w:cs="Arial"/>
                <w:b/>
                <w:sz w:val="20"/>
                <w:szCs w:val="20"/>
              </w:rPr>
              <w:t>1.- Comercializadores</w:t>
            </w:r>
            <w:r w:rsidRPr="0011572A">
              <w:rPr>
                <w:rFonts w:ascii="Verdana" w:hAnsi="Verdana" w:cs="Arial"/>
                <w:sz w:val="20"/>
                <w:szCs w:val="20"/>
              </w:rPr>
              <w:t>.- A las personas físicas o morales que hayan celebrado contrato de comisión mercantil con Pronósticos y cuya función consistirá en aceptar quinielas del público en la forma y términos señalados por este Reglamento y demás disposiciones aplicables;</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2.- Banca electrónica.- </w:t>
            </w:r>
            <w:r w:rsidR="0086768A">
              <w:rPr>
                <w:rFonts w:ascii="Verdana" w:eastAsia="Times New Roman" w:hAnsi="Verdana" w:cs="Times New Roman"/>
                <w:color w:val="333333"/>
                <w:sz w:val="20"/>
                <w:szCs w:val="20"/>
                <w:lang w:eastAsia="es-MX"/>
              </w:rPr>
              <w:t>A</w:t>
            </w:r>
            <w:r w:rsidRPr="0077673A">
              <w:rPr>
                <w:rFonts w:ascii="Verdana" w:eastAsia="Times New Roman" w:hAnsi="Verdana" w:cs="Times New Roman"/>
                <w:color w:val="333333"/>
                <w:sz w:val="20"/>
                <w:szCs w:val="20"/>
                <w:lang w:eastAsia="es-MX"/>
              </w:rPr>
              <w:t xml:space="preserve">l servicio de banca en línea proporcionado por cualquier </w:t>
            </w:r>
            <w:r w:rsidRPr="0077673A">
              <w:rPr>
                <w:rFonts w:ascii="Verdana" w:eastAsia="Times New Roman" w:hAnsi="Verdana" w:cs="Times New Roman"/>
                <w:color w:val="333333"/>
                <w:sz w:val="20"/>
                <w:szCs w:val="20"/>
                <w:lang w:eastAsia="es-MX"/>
              </w:rPr>
              <w:lastRenderedPageBreak/>
              <w:t xml:space="preserve">Institución bancaria; </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3. Boleto.-</w:t>
            </w:r>
            <w:r w:rsidRPr="0077673A">
              <w:rPr>
                <w:rFonts w:ascii="Verdana" w:eastAsia="Times New Roman" w:hAnsi="Verdana" w:cs="Times New Roman"/>
                <w:color w:val="333333"/>
                <w:sz w:val="20"/>
                <w:szCs w:val="20"/>
                <w:lang w:eastAsia="es-MX"/>
              </w:rPr>
              <w:t xml:space="preserve"> El Boleto consigna un contrato de adhesión, acredita el derecho de participar en el concurso o sorteo de que se trate y constituye un documento civil al portador comprendido en el artículo 6o. de la Ley General de Títulos y Operaciones de Crédito, y no un título de crédito;</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4.- Boleto Virtual.-</w:t>
            </w:r>
            <w:r w:rsidRPr="0077673A">
              <w:rPr>
                <w:rFonts w:ascii="Verdana" w:eastAsia="Times New Roman" w:hAnsi="Verdana" w:cs="Times New Roman"/>
                <w:color w:val="333333"/>
                <w:sz w:val="20"/>
                <w:szCs w:val="20"/>
                <w:lang w:eastAsia="es-MX"/>
              </w:rPr>
              <w:t xml:space="preserve"> Representación electrónica de boleto desplegada en la pantalla del dispositivo electrónico utilizado por el concursante para participar en el sorteo o concurso de que se trate.</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5.- Combinación.- </w:t>
            </w:r>
            <w:r w:rsidRPr="0077673A">
              <w:rPr>
                <w:rFonts w:ascii="Verdana" w:eastAsia="Times New Roman" w:hAnsi="Verdana" w:cs="Times New Roman"/>
                <w:color w:val="333333"/>
                <w:sz w:val="20"/>
                <w:szCs w:val="20"/>
                <w:lang w:eastAsia="es-MX"/>
              </w:rPr>
              <w:t>Al conjunto de dos o más quinielas seleccionadas en los dispositivos electrónicos distintos a las terminales tradicionales de Pronósticos;</w:t>
            </w:r>
            <w:r w:rsidRPr="0077673A">
              <w:rPr>
                <w:rFonts w:ascii="Verdana" w:eastAsia="Times New Roman" w:hAnsi="Verdana" w:cs="Times New Roman"/>
                <w:color w:val="333333"/>
                <w:sz w:val="20"/>
                <w:szCs w:val="20"/>
                <w:lang w:eastAsia="es-MX"/>
              </w:rPr>
              <w:br/>
            </w:r>
            <w:r w:rsidRPr="0077673A">
              <w:rPr>
                <w:rFonts w:ascii="Verdana" w:eastAsia="Times New Roman" w:hAnsi="Verdana" w:cs="Times New Roman"/>
                <w:color w:val="333333"/>
                <w:sz w:val="20"/>
                <w:szCs w:val="20"/>
                <w:lang w:eastAsia="es-MX"/>
              </w:rPr>
              <w:br/>
            </w:r>
            <w:r w:rsidRPr="0077673A">
              <w:rPr>
                <w:rFonts w:ascii="Verdana" w:eastAsia="Times New Roman" w:hAnsi="Verdana" w:cs="Times New Roman"/>
                <w:b/>
                <w:bCs/>
                <w:color w:val="333333"/>
                <w:sz w:val="20"/>
                <w:szCs w:val="20"/>
                <w:lang w:eastAsia="es-MX"/>
              </w:rPr>
              <w:t>6.- Concurso.-</w:t>
            </w:r>
            <w:r w:rsidRPr="0077673A">
              <w:rPr>
                <w:rFonts w:ascii="Verdana" w:eastAsia="Times New Roman" w:hAnsi="Verdana" w:cs="Times New Roman"/>
                <w:color w:val="333333"/>
                <w:sz w:val="20"/>
                <w:szCs w:val="20"/>
                <w:lang w:eastAsia="es-MX"/>
              </w:rPr>
              <w:t xml:space="preserve"> Al evento que tiene lugar desde la captación oficial de quinielas seleccionadas para un pronóstico deportivo, hasta la selección de ganadores;</w:t>
            </w:r>
            <w:r w:rsidRPr="0077673A">
              <w:rPr>
                <w:rFonts w:ascii="Verdana" w:eastAsia="Times New Roman" w:hAnsi="Verdana" w:cs="Times New Roman"/>
                <w:color w:val="333333"/>
                <w:sz w:val="20"/>
                <w:szCs w:val="20"/>
                <w:lang w:eastAsia="es-MX"/>
              </w:rPr>
              <w:br/>
            </w:r>
            <w:r w:rsidRPr="0077673A">
              <w:rPr>
                <w:rFonts w:ascii="Verdana" w:eastAsia="Times New Roman" w:hAnsi="Verdana" w:cs="Times New Roman"/>
                <w:color w:val="333333"/>
                <w:sz w:val="20"/>
                <w:szCs w:val="20"/>
                <w:lang w:eastAsia="es-MX"/>
              </w:rPr>
              <w:br/>
            </w:r>
            <w:r w:rsidRPr="0077673A">
              <w:rPr>
                <w:rFonts w:ascii="Verdana" w:eastAsia="Times New Roman" w:hAnsi="Verdana" w:cs="Times New Roman"/>
                <w:b/>
                <w:bCs/>
                <w:color w:val="333333"/>
                <w:sz w:val="20"/>
                <w:szCs w:val="20"/>
                <w:lang w:eastAsia="es-MX"/>
              </w:rPr>
              <w:t>7.- Constancia de participación.-</w:t>
            </w:r>
            <w:r w:rsidRPr="0077673A">
              <w:rPr>
                <w:rFonts w:ascii="Verdana" w:eastAsia="Times New Roman" w:hAnsi="Verdana" w:cs="Times New Roman"/>
                <w:color w:val="333333"/>
                <w:sz w:val="20"/>
                <w:szCs w:val="20"/>
                <w:lang w:eastAsia="es-MX"/>
              </w:rPr>
              <w:t xml:space="preserve"> Al archivo electrónico en el que se plasman los datos de identificación de la participación del concursante de un concurso o sorteo determinado por Pronósticos para la Asistencia Pública. Este archivo electrónico es enviado al dispositivo electrónico que el concursante utilizó para participar. Los concursantes tendrán acceso para consulta e impresión de la constancia de participación;</w:t>
            </w:r>
            <w:r w:rsidRPr="0077673A">
              <w:rPr>
                <w:rFonts w:ascii="Verdana" w:eastAsia="Times New Roman" w:hAnsi="Verdana" w:cs="Times New Roman"/>
                <w:color w:val="333333"/>
                <w:sz w:val="20"/>
                <w:szCs w:val="20"/>
                <w:lang w:eastAsia="es-MX"/>
              </w:rPr>
              <w:br/>
            </w:r>
            <w:r w:rsidRPr="0077673A">
              <w:rPr>
                <w:rFonts w:ascii="Verdana" w:eastAsia="Times New Roman" w:hAnsi="Verdana" w:cs="Times New Roman"/>
                <w:color w:val="333333"/>
                <w:sz w:val="20"/>
                <w:szCs w:val="20"/>
                <w:lang w:eastAsia="es-MX"/>
              </w:rPr>
              <w:br/>
            </w:r>
            <w:r w:rsidRPr="0077673A">
              <w:rPr>
                <w:rFonts w:ascii="Verdana" w:eastAsia="Times New Roman" w:hAnsi="Verdana" w:cs="Times New Roman"/>
                <w:b/>
                <w:bCs/>
                <w:color w:val="333333"/>
                <w:sz w:val="20"/>
                <w:szCs w:val="20"/>
                <w:lang w:eastAsia="es-MX"/>
              </w:rPr>
              <w:t>8.- Dispositivo electrónico.-</w:t>
            </w:r>
            <w:r w:rsidRPr="0077673A">
              <w:rPr>
                <w:rFonts w:ascii="Verdana" w:eastAsia="Times New Roman" w:hAnsi="Verdana" w:cs="Times New Roman"/>
                <w:color w:val="333333"/>
                <w:sz w:val="20"/>
                <w:szCs w:val="20"/>
                <w:lang w:eastAsia="es-MX"/>
              </w:rPr>
              <w:t xml:space="preserve"> A cualquier medio electrónico distinto a las terminales tradicionales mediante el cual Pronósticos comercialice sus concursos o sorteos, los cuales pueden ser cajeros automáticos, dispositivos de comunicaciones móviles como celulares, Administrador Personal de Datos (</w:t>
            </w:r>
            <w:proofErr w:type="spellStart"/>
            <w:r w:rsidRPr="0077673A">
              <w:rPr>
                <w:rFonts w:ascii="Verdana" w:eastAsia="Times New Roman" w:hAnsi="Verdana" w:cs="Times New Roman"/>
                <w:color w:val="333333"/>
                <w:sz w:val="20"/>
                <w:szCs w:val="20"/>
                <w:lang w:eastAsia="es-MX"/>
              </w:rPr>
              <w:t>pda's</w:t>
            </w:r>
            <w:proofErr w:type="spellEnd"/>
            <w:r w:rsidRPr="0077673A">
              <w:rPr>
                <w:rFonts w:ascii="Verdana" w:eastAsia="Times New Roman" w:hAnsi="Verdana" w:cs="Times New Roman"/>
                <w:color w:val="333333"/>
                <w:sz w:val="20"/>
                <w:szCs w:val="20"/>
                <w:lang w:eastAsia="es-MX"/>
              </w:rPr>
              <w:t>), computadoras conectadas mediante Internet a sitios Web autorizados por Pronósticos, terminales punto</w:t>
            </w:r>
            <w:r w:rsidRPr="0077673A">
              <w:rPr>
                <w:rFonts w:ascii="Verdana" w:eastAsia="Times New Roman" w:hAnsi="Verdana" w:cs="Times New Roman"/>
                <w:color w:val="333333"/>
                <w:sz w:val="20"/>
                <w:szCs w:val="20"/>
                <w:lang w:eastAsia="es-MX"/>
              </w:rPr>
              <w:br/>
              <w:t>de venta (TPV), Cajas Registradoras o cualquier otro dispositivo electrónico con comunicación al Sistema de Cómputo Central de Pronósticos;</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9.- Monedero Electrónico.-</w:t>
            </w:r>
            <w:r w:rsidRPr="0077673A">
              <w:rPr>
                <w:rFonts w:ascii="Verdana" w:eastAsia="Times New Roman" w:hAnsi="Verdana" w:cs="Times New Roman"/>
                <w:color w:val="333333"/>
                <w:sz w:val="20"/>
                <w:szCs w:val="20"/>
                <w:lang w:eastAsia="es-MX"/>
              </w:rPr>
              <w:t xml:space="preserve"> A la tarjeta electrónica inteligente que permite abonar dinero en efectivo</w:t>
            </w:r>
            <w:r>
              <w:rPr>
                <w:rFonts w:ascii="Verdana" w:eastAsia="Times New Roman" w:hAnsi="Verdana" w:cs="Times New Roman"/>
                <w:color w:val="333333"/>
                <w:sz w:val="20"/>
                <w:szCs w:val="20"/>
                <w:lang w:eastAsia="es-MX"/>
              </w:rPr>
              <w:t xml:space="preserve"> </w:t>
            </w:r>
            <w:r w:rsidRPr="0077673A">
              <w:rPr>
                <w:rFonts w:ascii="Verdana" w:eastAsia="Times New Roman" w:hAnsi="Verdana" w:cs="Times New Roman"/>
                <w:color w:val="333333"/>
                <w:sz w:val="20"/>
                <w:szCs w:val="20"/>
                <w:lang w:eastAsia="es-MX"/>
              </w:rPr>
              <w:t>o premios obtenidos, cuyo saldo podrá ser utilizado para pagar el importe de su boleto o retirar el importe de los premios obtenidos;</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10.- Pronósticos.-</w:t>
            </w:r>
            <w:r w:rsidRPr="0077673A">
              <w:rPr>
                <w:rFonts w:ascii="Verdana" w:eastAsia="Times New Roman" w:hAnsi="Verdana" w:cs="Times New Roman"/>
                <w:color w:val="333333"/>
                <w:sz w:val="20"/>
                <w:szCs w:val="20"/>
                <w:lang w:eastAsia="es-MX"/>
              </w:rPr>
              <w:t xml:space="preserve"> Pronósticos para la Asistencia Pública;</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11.- Registro de Participación.-</w:t>
            </w:r>
            <w:r w:rsidRPr="0077673A">
              <w:rPr>
                <w:rFonts w:ascii="Verdana" w:eastAsia="Times New Roman" w:hAnsi="Verdana" w:cs="Times New Roman"/>
                <w:color w:val="333333"/>
                <w:sz w:val="20"/>
                <w:szCs w:val="20"/>
                <w:lang w:eastAsia="es-MX"/>
              </w:rPr>
              <w:t xml:space="preserve"> Al proceso por el que cualquier boleto adquirido para un concurso o sorteo determinado por Pronósticos, queda integralmente grabado en el Sistema de Cómputo Central;</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12.- Quiniela.-</w:t>
            </w:r>
            <w:r w:rsidRPr="0077673A">
              <w:rPr>
                <w:rFonts w:ascii="Verdana" w:eastAsia="Times New Roman" w:hAnsi="Verdana" w:cs="Times New Roman"/>
                <w:color w:val="333333"/>
                <w:sz w:val="20"/>
                <w:szCs w:val="20"/>
                <w:lang w:eastAsia="es-MX"/>
              </w:rPr>
              <w:t xml:space="preserve"> A la selección de un pronóstico deportivo o numérico de un conjunto de partidos o un conjunto de números, respectivamente, determinados por Pronósticos programados para un concurso o sorteo;</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13.- Selección de ganadores.</w:t>
            </w:r>
            <w:r w:rsidRPr="0077673A">
              <w:rPr>
                <w:rFonts w:ascii="Verdana" w:eastAsia="Times New Roman" w:hAnsi="Verdana" w:cs="Times New Roman"/>
                <w:color w:val="333333"/>
                <w:sz w:val="20"/>
                <w:szCs w:val="20"/>
                <w:lang w:eastAsia="es-MX"/>
              </w:rPr>
              <w:t>- Al evento mediante el cual se determinan en cada concurso o sorteo, utilizando el Sistema de Cómputo Central, para determinar los números de Boletos que obtuvieron premiación y el monto de dichos premios;</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14.- Sistema de Cómputo Central.-</w:t>
            </w:r>
            <w:r w:rsidRPr="0077673A">
              <w:rPr>
                <w:rFonts w:ascii="Verdana" w:eastAsia="Times New Roman" w:hAnsi="Verdana" w:cs="Times New Roman"/>
                <w:color w:val="333333"/>
                <w:sz w:val="20"/>
                <w:szCs w:val="20"/>
                <w:lang w:eastAsia="es-MX"/>
              </w:rPr>
              <w:t xml:space="preserve"> Al sistema de cómputo de Pronósticos utilizado para operar los concursos y sorteos en línea y que registra y totaliza las transacciones </w:t>
            </w:r>
            <w:r w:rsidRPr="0077673A">
              <w:rPr>
                <w:rFonts w:ascii="Verdana" w:eastAsia="Times New Roman" w:hAnsi="Verdana" w:cs="Times New Roman"/>
                <w:color w:val="333333"/>
                <w:sz w:val="20"/>
                <w:szCs w:val="20"/>
                <w:lang w:eastAsia="es-MX"/>
              </w:rPr>
              <w:lastRenderedPageBreak/>
              <w:t>generadas con motivo de las participaciones para un determinado concurso o sorteo;</w:t>
            </w:r>
            <w:r w:rsidRPr="0077673A">
              <w:rPr>
                <w:rFonts w:ascii="Verdana" w:eastAsia="Times New Roman" w:hAnsi="Verdana" w:cs="Times New Roman"/>
                <w:color w:val="333333"/>
                <w:sz w:val="20"/>
                <w:szCs w:val="20"/>
                <w:lang w:eastAsia="es-MX"/>
              </w:rPr>
              <w:br/>
            </w:r>
            <w:r w:rsidRPr="0077673A">
              <w:rPr>
                <w:rFonts w:ascii="Verdana" w:eastAsia="Times New Roman" w:hAnsi="Verdana" w:cs="Times New Roman"/>
                <w:color w:val="333333"/>
                <w:sz w:val="20"/>
                <w:szCs w:val="20"/>
                <w:lang w:eastAsia="es-MX"/>
              </w:rPr>
              <w:br/>
            </w:r>
            <w:r w:rsidRPr="0077673A">
              <w:rPr>
                <w:rFonts w:ascii="Verdana" w:eastAsia="Times New Roman" w:hAnsi="Verdana" w:cs="Times New Roman"/>
                <w:b/>
                <w:bCs/>
                <w:color w:val="333333"/>
                <w:sz w:val="20"/>
                <w:szCs w:val="20"/>
                <w:lang w:eastAsia="es-MX"/>
              </w:rPr>
              <w:t>15.- Sorteo.-</w:t>
            </w:r>
            <w:r w:rsidRPr="0077673A">
              <w:rPr>
                <w:rFonts w:ascii="Verdana" w:eastAsia="Times New Roman" w:hAnsi="Verdana" w:cs="Times New Roman"/>
                <w:color w:val="333333"/>
                <w:sz w:val="20"/>
                <w:szCs w:val="20"/>
                <w:lang w:eastAsia="es-MX"/>
              </w:rPr>
              <w:t xml:space="preserve"> Al evento que tiene lugar desde la captación oficial de quinielas seleccionadas para un pronóstico numérico, hasta la selección de ganadores;</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16.- Tarjeta de débito o crédito:</w:t>
            </w:r>
            <w:r w:rsidRPr="0077673A">
              <w:rPr>
                <w:rFonts w:ascii="Verdana" w:eastAsia="Times New Roman" w:hAnsi="Verdana" w:cs="Times New Roman"/>
                <w:color w:val="333333"/>
                <w:sz w:val="20"/>
                <w:szCs w:val="20"/>
                <w:lang w:eastAsia="es-MX"/>
              </w:rPr>
              <w:t xml:space="preserve"> a la tarjeta bancaria que utilizará el concursante para pagar el importe de su boleto;</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17.- Tarjeta o Cuenta virtual.-</w:t>
            </w:r>
            <w:r w:rsidRPr="0077673A">
              <w:rPr>
                <w:rFonts w:ascii="Verdana" w:eastAsia="Times New Roman" w:hAnsi="Verdana" w:cs="Times New Roman"/>
                <w:color w:val="333333"/>
                <w:sz w:val="20"/>
                <w:szCs w:val="20"/>
                <w:lang w:eastAsia="es-MX"/>
              </w:rPr>
              <w:t xml:space="preserve"> A la cuenta electrónica en la que los concursantes podrán abonar crédito para utilizarlo en futuras compras de boletos de Pronósticos Interactivos;</w:t>
            </w:r>
            <w:r w:rsidRPr="0077673A">
              <w:rPr>
                <w:rFonts w:ascii="Verdana" w:eastAsia="Times New Roman" w:hAnsi="Verdana" w:cs="Times New Roman"/>
                <w:color w:val="333333"/>
                <w:sz w:val="20"/>
                <w:szCs w:val="20"/>
                <w:lang w:eastAsia="es-MX"/>
              </w:rPr>
              <w:br/>
            </w:r>
            <w:r w:rsidRPr="0077673A">
              <w:rPr>
                <w:rFonts w:ascii="Verdana" w:eastAsia="Times New Roman" w:hAnsi="Verdana" w:cs="Times New Roman"/>
                <w:color w:val="333333"/>
                <w:sz w:val="20"/>
                <w:szCs w:val="20"/>
                <w:lang w:eastAsia="es-MX"/>
              </w:rPr>
              <w:br/>
            </w:r>
            <w:r w:rsidRPr="0077673A">
              <w:rPr>
                <w:rFonts w:ascii="Verdana" w:eastAsia="Times New Roman" w:hAnsi="Verdana" w:cs="Times New Roman"/>
                <w:b/>
                <w:bCs/>
                <w:color w:val="333333"/>
                <w:sz w:val="20"/>
                <w:szCs w:val="20"/>
                <w:lang w:eastAsia="es-MX"/>
              </w:rPr>
              <w:t xml:space="preserve">18.- Tarjeta </w:t>
            </w:r>
            <w:proofErr w:type="spellStart"/>
            <w:r w:rsidRPr="0077673A">
              <w:rPr>
                <w:rFonts w:ascii="Verdana" w:eastAsia="Times New Roman" w:hAnsi="Verdana" w:cs="Times New Roman"/>
                <w:b/>
                <w:bCs/>
                <w:color w:val="333333"/>
                <w:sz w:val="20"/>
                <w:szCs w:val="20"/>
                <w:lang w:eastAsia="es-MX"/>
              </w:rPr>
              <w:t>prepagada</w:t>
            </w:r>
            <w:proofErr w:type="spellEnd"/>
            <w:r w:rsidRPr="0077673A">
              <w:rPr>
                <w:rFonts w:ascii="Verdana" w:eastAsia="Times New Roman" w:hAnsi="Verdana" w:cs="Times New Roman"/>
                <w:b/>
                <w:bCs/>
                <w:color w:val="333333"/>
                <w:sz w:val="20"/>
                <w:szCs w:val="20"/>
                <w:lang w:eastAsia="es-MX"/>
              </w:rPr>
              <w:t>.-</w:t>
            </w:r>
            <w:r w:rsidRPr="0077673A">
              <w:rPr>
                <w:rFonts w:ascii="Verdana" w:eastAsia="Times New Roman" w:hAnsi="Verdana" w:cs="Times New Roman"/>
                <w:color w:val="333333"/>
                <w:sz w:val="20"/>
                <w:szCs w:val="20"/>
                <w:lang w:eastAsia="es-MX"/>
              </w:rPr>
              <w:t xml:space="preserve"> A la tarjeta con un valor determinado que los concursantes podrán adquirir para realizar con cargo a ella la compra de los boletos de los concursos o sorteos en los que deseen participar a través del uso de los dispositivos electrónicos autorizados y en la que se podrá abonar el importe de los premios obtenidos, en su caso. Dicho importe podrá ser cobrado en los lugares definidos por Pronósticos, o bien, ser utilizado para pagar el importe de boletos de los concursos o sorteos, y</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19.- Terminal</w:t>
            </w:r>
            <w:r w:rsidR="0086768A">
              <w:rPr>
                <w:rFonts w:ascii="Verdana" w:eastAsia="Times New Roman" w:hAnsi="Verdana" w:cs="Times New Roman"/>
                <w:b/>
                <w:bCs/>
                <w:color w:val="333333"/>
                <w:sz w:val="20"/>
                <w:szCs w:val="20"/>
                <w:lang w:eastAsia="es-MX"/>
              </w:rPr>
              <w:t>.-</w:t>
            </w:r>
            <w:r w:rsidRPr="0077673A">
              <w:rPr>
                <w:rFonts w:ascii="Verdana" w:eastAsia="Times New Roman" w:hAnsi="Verdana" w:cs="Times New Roman"/>
                <w:b/>
                <w:bCs/>
                <w:color w:val="333333"/>
                <w:sz w:val="20"/>
                <w:szCs w:val="20"/>
                <w:lang w:eastAsia="es-MX"/>
              </w:rPr>
              <w:t xml:space="preserve"> </w:t>
            </w:r>
            <w:r w:rsidR="0086768A" w:rsidRPr="0011572A">
              <w:rPr>
                <w:rFonts w:ascii="Verdana" w:hAnsi="Verdana" w:cs="Arial"/>
                <w:sz w:val="20"/>
                <w:szCs w:val="20"/>
              </w:rPr>
              <w:t>Cualquier dispositivo de punto de venta que se utilice para la comercialización de concursos, sorteos, productos y servicios que ofrece Pronósticos.</w:t>
            </w:r>
            <w:r w:rsidRPr="0077673A">
              <w:rPr>
                <w:rFonts w:ascii="Verdana" w:eastAsia="Times New Roman" w:hAnsi="Verdana" w:cs="Times New Roman"/>
                <w:color w:val="333333"/>
                <w:sz w:val="20"/>
                <w:szCs w:val="20"/>
                <w:lang w:eastAsia="es-MX"/>
              </w:rPr>
              <w:t xml:space="preserve"> </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29 de febrero de 2008)</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20 de mayo de 2009)</w:t>
            </w:r>
          </w:p>
          <w:p w:rsidR="0077673A" w:rsidRPr="0077673A" w:rsidRDefault="0086768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6" w:anchor="cm24" w:history="1">
              <w:r w:rsidRPr="008D701D">
                <w:rPr>
                  <w:rFonts w:ascii="Verdana" w:eastAsia="Times New Roman" w:hAnsi="Verdana" w:cs="Times New Roman"/>
                  <w:color w:val="006666"/>
                  <w:sz w:val="20"/>
                  <w:szCs w:val="20"/>
                  <w:u w:val="single"/>
                  <w:lang w:eastAsia="es-MX"/>
                </w:rPr>
                <w:t>(Modificado mediante reforma publicado en el Diario Oficial de la Federación</w:t>
              </w:r>
              <w:r>
                <w:rPr>
                  <w:rFonts w:ascii="Verdana" w:eastAsia="Times New Roman" w:hAnsi="Verdana" w:cs="Times New Roman"/>
                  <w:color w:val="006666"/>
                  <w:sz w:val="20"/>
                  <w:szCs w:val="20"/>
                  <w:u w:val="single"/>
                  <w:lang w:eastAsia="es-MX"/>
                </w:rPr>
                <w:t xml:space="preserve"> el día 30 de septiembre de 2011</w:t>
              </w:r>
              <w:r w:rsidRPr="008D701D">
                <w:rPr>
                  <w:rFonts w:ascii="Verdana" w:eastAsia="Times New Roman" w:hAnsi="Verdana" w:cs="Times New Roman"/>
                  <w:color w:val="006666"/>
                  <w:sz w:val="20"/>
                  <w:szCs w:val="20"/>
                  <w:u w:val="single"/>
                  <w:lang w:eastAsia="es-MX"/>
                </w:rPr>
                <w:t>)</w:t>
              </w:r>
            </w:hyperlink>
          </w:p>
        </w:tc>
      </w:tr>
      <w:tr w:rsidR="0077673A" w:rsidRPr="0077673A" w:rsidTr="0077673A">
        <w:trPr>
          <w:gridAfter w:val="2"/>
          <w:wAfter w:w="8" w:type="pct"/>
          <w:tblCellSpacing w:w="0" w:type="dxa"/>
          <w:jc w:val="center"/>
        </w:trPr>
        <w:tc>
          <w:tcPr>
            <w:tcW w:w="4992" w:type="pct"/>
            <w:vAlign w:val="center"/>
            <w:hideMark/>
          </w:tcPr>
          <w:p w:rsidR="0077673A" w:rsidRPr="0077673A" w:rsidRDefault="0077673A" w:rsidP="0077673A">
            <w:pPr>
              <w:spacing w:after="0" w:line="240" w:lineRule="auto"/>
              <w:jc w:val="both"/>
              <w:rPr>
                <w:rFonts w:ascii="Verdana" w:eastAsia="Times New Roman" w:hAnsi="Verdana" w:cs="Times New Roman"/>
                <w:color w:val="333333"/>
                <w:sz w:val="20"/>
                <w:szCs w:val="20"/>
                <w:lang w:eastAsia="es-MX"/>
              </w:rPr>
            </w:pPr>
          </w:p>
        </w:tc>
      </w:tr>
      <w:tr w:rsidR="0077673A" w:rsidRPr="0077673A" w:rsidTr="0077673A">
        <w:trPr>
          <w:gridAfter w:val="2"/>
          <w:wAfter w:w="8" w:type="pct"/>
          <w:tblCellSpacing w:w="0" w:type="dxa"/>
          <w:jc w:val="center"/>
        </w:trPr>
        <w:tc>
          <w:tcPr>
            <w:tcW w:w="4992" w:type="pct"/>
            <w:vAlign w:val="center"/>
            <w:hideMark/>
          </w:tcPr>
          <w:p w:rsidR="0077673A" w:rsidRDefault="0077673A" w:rsidP="0077673A">
            <w:pPr>
              <w:spacing w:after="0" w:line="240" w:lineRule="auto"/>
              <w:jc w:val="center"/>
              <w:rPr>
                <w:rFonts w:ascii="Verdana" w:eastAsia="Times New Roman" w:hAnsi="Verdana" w:cs="Times New Roman"/>
                <w:b/>
                <w:bCs/>
                <w:color w:val="333333"/>
                <w:sz w:val="20"/>
                <w:szCs w:val="20"/>
                <w:lang w:eastAsia="es-MX"/>
              </w:rPr>
            </w:pPr>
            <w:bookmarkStart w:id="2" w:name="pr2"/>
            <w:bookmarkEnd w:id="2"/>
          </w:p>
          <w:p w:rsidR="0077673A" w:rsidRPr="0077673A" w:rsidRDefault="0077673A" w:rsidP="0077673A">
            <w:pPr>
              <w:spacing w:after="0" w:line="240" w:lineRule="auto"/>
              <w:jc w:val="center"/>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Capítulo II</w:t>
            </w:r>
            <w:r w:rsidRPr="0077673A">
              <w:rPr>
                <w:rFonts w:ascii="Verdana" w:eastAsia="Times New Roman" w:hAnsi="Verdana" w:cs="Times New Roman"/>
                <w:b/>
                <w:bCs/>
                <w:color w:val="333333"/>
                <w:sz w:val="20"/>
                <w:szCs w:val="20"/>
                <w:lang w:eastAsia="es-MX"/>
              </w:rPr>
              <w:br/>
              <w:t>Procedimiento para Concursar</w:t>
            </w:r>
          </w:p>
        </w:tc>
      </w:tr>
      <w:tr w:rsidR="0077673A" w:rsidRPr="0077673A" w:rsidTr="0077673A">
        <w:trPr>
          <w:gridAfter w:val="2"/>
          <w:wAfter w:w="8" w:type="pct"/>
          <w:tblCellSpacing w:w="0" w:type="dxa"/>
          <w:jc w:val="center"/>
        </w:trPr>
        <w:tc>
          <w:tcPr>
            <w:tcW w:w="4992" w:type="pct"/>
            <w:vAlign w:val="center"/>
            <w:hideMark/>
          </w:tcPr>
          <w:p w:rsidR="0077673A" w:rsidRPr="0077673A" w:rsidRDefault="0077673A" w:rsidP="0077673A">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br/>
            </w:r>
            <w:r w:rsidRPr="0077673A">
              <w:rPr>
                <w:rFonts w:ascii="Verdana" w:eastAsia="Times New Roman" w:hAnsi="Verdana" w:cs="Times New Roman"/>
                <w:b/>
                <w:bCs/>
                <w:color w:val="333333"/>
                <w:sz w:val="20"/>
                <w:szCs w:val="20"/>
                <w:lang w:eastAsia="es-MX"/>
              </w:rPr>
              <w:t>Título I</w:t>
            </w:r>
            <w:r w:rsidRPr="0077673A">
              <w:rPr>
                <w:rFonts w:ascii="Verdana" w:eastAsia="Times New Roman" w:hAnsi="Verdana" w:cs="Times New Roman"/>
                <w:b/>
                <w:bCs/>
                <w:color w:val="333333"/>
                <w:sz w:val="20"/>
                <w:szCs w:val="20"/>
                <w:lang w:eastAsia="es-MX"/>
              </w:rPr>
              <w:br/>
              <w:t>Lugares autorizados para toma de apuestas</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quinto.- </w:t>
            </w:r>
            <w:r w:rsidRPr="0077673A">
              <w:rPr>
                <w:rFonts w:ascii="Verdana" w:eastAsia="Times New Roman" w:hAnsi="Verdana" w:cs="Times New Roman"/>
                <w:color w:val="333333"/>
                <w:sz w:val="20"/>
                <w:szCs w:val="20"/>
                <w:lang w:eastAsia="es-MX"/>
              </w:rPr>
              <w:t>Los concursantes podrán participar en un concurso o sorteo utilizando los dispositivos electrónicos autorizados por Pronósticos.</w:t>
            </w:r>
            <w:r w:rsidRPr="0077673A">
              <w:rPr>
                <w:rFonts w:ascii="Verdana" w:eastAsia="Times New Roman" w:hAnsi="Verdana" w:cs="Times New Roman"/>
                <w:color w:val="333333"/>
                <w:sz w:val="20"/>
                <w:szCs w:val="20"/>
                <w:lang w:eastAsia="es-MX"/>
              </w:rPr>
              <w:br/>
              <w:t>Los concursantes que participen en los concursos o sorteos autorizados por Pronósticos vía Internet, deberán sujetarse además a los términos y condiciones desplegados en la página de la Entidad: http://enlinea.pronosticos.gob.mx.</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 xml:space="preserve">(Modificado mediante reforma publicado en el Diario Oficial de la Federación el día 20 de mayo de 2009) </w:t>
            </w:r>
          </w:p>
          <w:p w:rsidR="0077673A" w:rsidRPr="0077673A" w:rsidRDefault="0077673A" w:rsidP="0077673A">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Título II</w:t>
            </w:r>
            <w:r w:rsidRPr="0077673A">
              <w:rPr>
                <w:rFonts w:ascii="Verdana" w:eastAsia="Times New Roman" w:hAnsi="Verdana" w:cs="Times New Roman"/>
                <w:b/>
                <w:bCs/>
                <w:color w:val="333333"/>
                <w:sz w:val="20"/>
                <w:szCs w:val="20"/>
                <w:lang w:eastAsia="es-MX"/>
              </w:rPr>
              <w:br/>
            </w:r>
            <w:r w:rsidRPr="0077673A">
              <w:rPr>
                <w:rFonts w:ascii="Verdana" w:eastAsia="Times New Roman" w:hAnsi="Verdana" w:cs="Times New Roman"/>
                <w:b/>
                <w:bCs/>
                <w:color w:val="333333"/>
                <w:sz w:val="20"/>
                <w:szCs w:val="20"/>
                <w:lang w:eastAsia="es-MX"/>
              </w:rPr>
              <w:lastRenderedPageBreak/>
              <w:t>Modalidades de Pago</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Artículo sexto.-</w:t>
            </w:r>
            <w:r w:rsidRPr="0077673A">
              <w:rPr>
                <w:rFonts w:ascii="Verdana" w:eastAsia="Times New Roman" w:hAnsi="Verdana" w:cs="Times New Roman"/>
                <w:color w:val="333333"/>
                <w:sz w:val="20"/>
                <w:szCs w:val="20"/>
                <w:lang w:eastAsia="es-MX"/>
              </w:rPr>
              <w:t xml:space="preserve"> Las modalidades de pago para participar en un concurso o sorteo mediante los dispositivos electrónicos que Pronósticos designe, podrán ser mediante tarjeta </w:t>
            </w:r>
            <w:proofErr w:type="spellStart"/>
            <w:r w:rsidRPr="0077673A">
              <w:rPr>
                <w:rFonts w:ascii="Verdana" w:eastAsia="Times New Roman" w:hAnsi="Verdana" w:cs="Times New Roman"/>
                <w:color w:val="333333"/>
                <w:sz w:val="20"/>
                <w:szCs w:val="20"/>
                <w:lang w:eastAsia="es-MX"/>
              </w:rPr>
              <w:t>prepagada</w:t>
            </w:r>
            <w:proofErr w:type="spellEnd"/>
            <w:r w:rsidRPr="0077673A">
              <w:rPr>
                <w:rFonts w:ascii="Verdana" w:eastAsia="Times New Roman" w:hAnsi="Verdana" w:cs="Times New Roman"/>
                <w:color w:val="333333"/>
                <w:sz w:val="20"/>
                <w:szCs w:val="20"/>
                <w:lang w:eastAsia="es-MX"/>
              </w:rPr>
              <w:t>, tarjetas bancarias de débito o crédito, banca electrónica, cuenta virtual o monedero electrónico.</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20 de mayo de 2009)</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séptimo.- </w:t>
            </w:r>
            <w:r w:rsidRPr="0077673A">
              <w:rPr>
                <w:rFonts w:ascii="Verdana" w:eastAsia="Times New Roman" w:hAnsi="Verdana" w:cs="Times New Roman"/>
                <w:color w:val="333333"/>
                <w:sz w:val="20"/>
                <w:szCs w:val="20"/>
                <w:lang w:eastAsia="es-MX"/>
              </w:rPr>
              <w:t>Derogado.</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octavo.- </w:t>
            </w:r>
            <w:r w:rsidRPr="0077673A">
              <w:rPr>
                <w:rFonts w:ascii="Verdana" w:eastAsia="Times New Roman" w:hAnsi="Verdana" w:cs="Times New Roman"/>
                <w:color w:val="333333"/>
                <w:sz w:val="20"/>
                <w:szCs w:val="20"/>
                <w:lang w:eastAsia="es-MX"/>
              </w:rPr>
              <w:t>Derogado.</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Artículo noveno.-</w:t>
            </w:r>
            <w:r w:rsidRPr="0077673A">
              <w:rPr>
                <w:rFonts w:ascii="Verdana" w:eastAsia="Times New Roman" w:hAnsi="Verdana" w:cs="Times New Roman"/>
                <w:color w:val="333333"/>
                <w:sz w:val="20"/>
                <w:szCs w:val="20"/>
                <w:lang w:eastAsia="es-MX"/>
              </w:rPr>
              <w:t xml:space="preserve"> </w:t>
            </w:r>
            <w:r w:rsidR="0086768A" w:rsidRPr="0011572A">
              <w:rPr>
                <w:rFonts w:ascii="Verdana" w:hAnsi="Verdana" w:cs="Arial"/>
                <w:sz w:val="20"/>
                <w:szCs w:val="20"/>
              </w:rPr>
              <w:t>Sólo tendrán validez para efectos del concurso o sorteo y pago de premios, los boletos vendidos por las terminales tradicionales asignadas a los Comercializadores o a través de los dispositivos electrónicos autorizados por Pronósticos, y no podrán ser incluidos en el Registro de Participación del Sistema de Cómputo Central, en los siguientes casos:</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a)</w:t>
            </w:r>
            <w:r w:rsidRPr="0077673A">
              <w:rPr>
                <w:rFonts w:ascii="Verdana" w:eastAsia="Times New Roman" w:hAnsi="Verdana" w:cs="Times New Roman"/>
                <w:color w:val="333333"/>
                <w:sz w:val="20"/>
                <w:szCs w:val="20"/>
                <w:lang w:eastAsia="es-MX"/>
              </w:rPr>
              <w:t xml:space="preserve"> Cuando el boleto virtual no haya sido adquirido en los lugares autorizados para la toma de apuestas conectada al Sistema de Cómputo Central o no haya sido adquirido a través de los dispositivos electrónicos autorizados por Pronósticos.</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b) </w:t>
            </w:r>
            <w:r w:rsidRPr="0077673A">
              <w:rPr>
                <w:rFonts w:ascii="Verdana" w:eastAsia="Times New Roman" w:hAnsi="Verdana" w:cs="Times New Roman"/>
                <w:color w:val="333333"/>
                <w:sz w:val="20"/>
                <w:szCs w:val="20"/>
                <w:lang w:eastAsia="es-MX"/>
              </w:rPr>
              <w:t>Cuando el boleto contenga alteraciones.</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c) </w:t>
            </w:r>
            <w:r w:rsidRPr="0077673A">
              <w:rPr>
                <w:rFonts w:ascii="Verdana" w:eastAsia="Times New Roman" w:hAnsi="Verdana" w:cs="Times New Roman"/>
                <w:color w:val="333333"/>
                <w:sz w:val="20"/>
                <w:szCs w:val="20"/>
                <w:lang w:eastAsia="es-MX"/>
              </w:rPr>
              <w:t xml:space="preserve">Cuando en la apuesta no se identifique la información requerida para su registro en el Sistema Central de Captación de Apuestas. </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29 de febrero de 2008)</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 xml:space="preserve">(Modificado mediante reforma publicado en el Diario Oficial de la Federación el día 20 de mayo de 2009) </w:t>
            </w:r>
          </w:p>
          <w:p w:rsidR="0086768A" w:rsidRPr="0077673A" w:rsidRDefault="0086768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7" w:anchor="cm24" w:history="1">
              <w:r w:rsidRPr="008D701D">
                <w:rPr>
                  <w:rFonts w:ascii="Verdana" w:eastAsia="Times New Roman" w:hAnsi="Verdana" w:cs="Times New Roman"/>
                  <w:color w:val="006666"/>
                  <w:sz w:val="20"/>
                  <w:szCs w:val="20"/>
                  <w:u w:val="single"/>
                  <w:lang w:eastAsia="es-MX"/>
                </w:rPr>
                <w:t>(Modificado mediante reforma publicado en el Diario Oficial de la Federación</w:t>
              </w:r>
              <w:r>
                <w:rPr>
                  <w:rFonts w:ascii="Verdana" w:eastAsia="Times New Roman" w:hAnsi="Verdana" w:cs="Times New Roman"/>
                  <w:color w:val="006666"/>
                  <w:sz w:val="20"/>
                  <w:szCs w:val="20"/>
                  <w:u w:val="single"/>
                  <w:lang w:eastAsia="es-MX"/>
                </w:rPr>
                <w:t xml:space="preserve"> el día 30 de septiembre de 2011</w:t>
              </w:r>
              <w:r w:rsidRPr="008D701D">
                <w:rPr>
                  <w:rFonts w:ascii="Verdana" w:eastAsia="Times New Roman" w:hAnsi="Verdana" w:cs="Times New Roman"/>
                  <w:color w:val="006666"/>
                  <w:sz w:val="20"/>
                  <w:szCs w:val="20"/>
                  <w:u w:val="single"/>
                  <w:lang w:eastAsia="es-MX"/>
                </w:rPr>
                <w:t>)</w:t>
              </w:r>
            </w:hyperlink>
          </w:p>
          <w:p w:rsidR="0077673A" w:rsidRPr="0077673A" w:rsidRDefault="0077673A" w:rsidP="0077673A">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Título III</w:t>
            </w:r>
            <w:r w:rsidRPr="0077673A">
              <w:rPr>
                <w:rFonts w:ascii="Verdana" w:eastAsia="Times New Roman" w:hAnsi="Verdana" w:cs="Times New Roman"/>
                <w:b/>
                <w:bCs/>
                <w:color w:val="333333"/>
                <w:sz w:val="20"/>
                <w:szCs w:val="20"/>
                <w:lang w:eastAsia="es-MX"/>
              </w:rPr>
              <w:br/>
              <w:t>Elementos que debe contener el boleto</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lastRenderedPageBreak/>
              <w:t>Artículo décimo.-</w:t>
            </w:r>
            <w:r w:rsidRPr="0077673A">
              <w:rPr>
                <w:rFonts w:ascii="Verdana" w:eastAsia="Times New Roman" w:hAnsi="Verdana" w:cs="Times New Roman"/>
                <w:color w:val="333333"/>
                <w:sz w:val="20"/>
                <w:szCs w:val="20"/>
                <w:lang w:eastAsia="es-MX"/>
              </w:rPr>
              <w:t xml:space="preserve"> El boleto virtual, deberá contener los siguientes datos:</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1.-</w:t>
            </w:r>
            <w:r w:rsidRPr="0077673A">
              <w:rPr>
                <w:rFonts w:ascii="Verdana" w:eastAsia="Times New Roman" w:hAnsi="Verdana" w:cs="Times New Roman"/>
                <w:color w:val="333333"/>
                <w:sz w:val="20"/>
                <w:szCs w:val="20"/>
                <w:lang w:eastAsia="es-MX"/>
              </w:rPr>
              <w:t xml:space="preserve"> Mencionar que se trata de un concurso o sorteo de Pronósticos.</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2.-</w:t>
            </w:r>
            <w:r w:rsidRPr="0077673A">
              <w:rPr>
                <w:rFonts w:ascii="Verdana" w:eastAsia="Times New Roman" w:hAnsi="Verdana" w:cs="Times New Roman"/>
                <w:color w:val="333333"/>
                <w:sz w:val="20"/>
                <w:szCs w:val="20"/>
                <w:lang w:eastAsia="es-MX"/>
              </w:rPr>
              <w:t xml:space="preserve"> Claves de identificación del boleto y el importe pagado por él.</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3.-</w:t>
            </w:r>
            <w:r w:rsidRPr="0077673A">
              <w:rPr>
                <w:rFonts w:ascii="Verdana" w:eastAsia="Times New Roman" w:hAnsi="Verdana" w:cs="Times New Roman"/>
                <w:color w:val="333333"/>
                <w:sz w:val="20"/>
                <w:szCs w:val="20"/>
                <w:lang w:eastAsia="es-MX"/>
              </w:rPr>
              <w:t xml:space="preserve"> El registro de los números pronosticados por el concursante en su combinación o bien los partidos o resultados seleccionados por él.</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4.-</w:t>
            </w:r>
            <w:r w:rsidRPr="0077673A">
              <w:rPr>
                <w:rFonts w:ascii="Verdana" w:eastAsia="Times New Roman" w:hAnsi="Verdana" w:cs="Times New Roman"/>
                <w:color w:val="333333"/>
                <w:sz w:val="20"/>
                <w:szCs w:val="20"/>
                <w:lang w:eastAsia="es-MX"/>
              </w:rPr>
              <w:t xml:space="preserve"> Claves y códigos de seguridad.</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5.-</w:t>
            </w:r>
            <w:r w:rsidRPr="0077673A">
              <w:rPr>
                <w:rFonts w:ascii="Verdana" w:eastAsia="Times New Roman" w:hAnsi="Verdana" w:cs="Times New Roman"/>
                <w:color w:val="333333"/>
                <w:sz w:val="20"/>
                <w:szCs w:val="20"/>
                <w:lang w:eastAsia="es-MX"/>
              </w:rPr>
              <w:t xml:space="preserve"> Nombre del concurso o sorteo de que se trata.</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6.-</w:t>
            </w:r>
            <w:r w:rsidRPr="0077673A">
              <w:rPr>
                <w:rFonts w:ascii="Verdana" w:eastAsia="Times New Roman" w:hAnsi="Verdana" w:cs="Times New Roman"/>
                <w:color w:val="333333"/>
                <w:sz w:val="20"/>
                <w:szCs w:val="20"/>
                <w:lang w:eastAsia="es-MX"/>
              </w:rPr>
              <w:t xml:space="preserve"> El término de caducidad del derecho para cobrar el premio correspondiente es de 60 (sesenta) días naturales, contados a partir de la fecha en que se dé por concluido el concurso o sorteo.</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20 de mayo de 2009)</w:t>
            </w:r>
          </w:p>
          <w:p w:rsidR="0077673A" w:rsidRPr="0077673A" w:rsidRDefault="0077673A" w:rsidP="0077673A">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Título IV</w:t>
            </w:r>
            <w:r w:rsidRPr="0077673A">
              <w:rPr>
                <w:rFonts w:ascii="Verdana" w:eastAsia="Times New Roman" w:hAnsi="Verdana" w:cs="Times New Roman"/>
                <w:b/>
                <w:bCs/>
                <w:color w:val="333333"/>
                <w:sz w:val="20"/>
                <w:szCs w:val="20"/>
                <w:lang w:eastAsia="es-MX"/>
              </w:rPr>
              <w:br/>
              <w:t>Proceso de captación</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Artículo décimo primero.-</w:t>
            </w:r>
            <w:r w:rsidRPr="0077673A">
              <w:rPr>
                <w:rFonts w:ascii="Verdana" w:eastAsia="Times New Roman" w:hAnsi="Verdana" w:cs="Times New Roman"/>
                <w:color w:val="333333"/>
                <w:sz w:val="20"/>
                <w:szCs w:val="20"/>
                <w:lang w:eastAsia="es-MX"/>
              </w:rPr>
              <w:t xml:space="preserve"> En el dispositivo electrónico autorizado por Pronósticos, el concursante marcará la selección de un pronóstico de símbolos, figuras, deportivo o numérico. </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20 de mayo de 2009)</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Artículo décimo segundo.-</w:t>
            </w:r>
            <w:r w:rsidRPr="0077673A">
              <w:rPr>
                <w:rFonts w:ascii="Verdana" w:eastAsia="Times New Roman" w:hAnsi="Verdana" w:cs="Times New Roman"/>
                <w:color w:val="333333"/>
                <w:sz w:val="20"/>
                <w:szCs w:val="20"/>
                <w:lang w:eastAsia="es-MX"/>
              </w:rPr>
              <w:t xml:space="preserve"> </w:t>
            </w:r>
            <w:r w:rsidR="0086768A" w:rsidRPr="0011572A">
              <w:rPr>
                <w:rFonts w:ascii="Verdana" w:hAnsi="Verdana" w:cs="Arial"/>
                <w:sz w:val="20"/>
                <w:szCs w:val="20"/>
              </w:rPr>
              <w:t>Mediante la digitación que haga el concursante de los datos necesarios en un dispositivo electrónico autorizado por Pronósticos, este último transmitirá la participación hacia una Terminal asignada al Comercializador o directamente al Sistema Central de Captación de Apuestas, una vez registrada y almacenada la información relativa al boleto en el citado sistema, se imprimirá, numerará y se expedirá, en su caso. Cuando se utilice una Terminal Tradicional, el boleto impreso será conservado en custodia por el Comercializador, y el concursante recibirá en el dispositivo electrónico una constancia de participación con los datos de su participación para un concurso o sorteo determinado por Pronósticos.</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29 de febrero de 2008)</w:t>
            </w:r>
          </w:p>
          <w:p w:rsid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 xml:space="preserve">(Modificado mediante reforma publicado en el Diario Oficial de la Federación el día 20 </w:t>
            </w:r>
            <w:r w:rsidRPr="0077673A">
              <w:rPr>
                <w:rFonts w:ascii="Verdana" w:eastAsia="Times New Roman" w:hAnsi="Verdana" w:cs="Times New Roman"/>
                <w:color w:val="333333"/>
                <w:sz w:val="20"/>
                <w:szCs w:val="20"/>
                <w:lang w:eastAsia="es-MX"/>
              </w:rPr>
              <w:lastRenderedPageBreak/>
              <w:t>de mayo de 2009)</w:t>
            </w:r>
          </w:p>
          <w:p w:rsidR="0086768A" w:rsidRPr="0077673A" w:rsidRDefault="0086768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8" w:anchor="cm24" w:history="1">
              <w:r w:rsidRPr="008D701D">
                <w:rPr>
                  <w:rFonts w:ascii="Verdana" w:eastAsia="Times New Roman" w:hAnsi="Verdana" w:cs="Times New Roman"/>
                  <w:color w:val="006666"/>
                  <w:sz w:val="20"/>
                  <w:szCs w:val="20"/>
                  <w:u w:val="single"/>
                  <w:lang w:eastAsia="es-MX"/>
                </w:rPr>
                <w:t>(Modificado mediante reforma publicado en el Diario Oficial de la Federación</w:t>
              </w:r>
              <w:r>
                <w:rPr>
                  <w:rFonts w:ascii="Verdana" w:eastAsia="Times New Roman" w:hAnsi="Verdana" w:cs="Times New Roman"/>
                  <w:color w:val="006666"/>
                  <w:sz w:val="20"/>
                  <w:szCs w:val="20"/>
                  <w:u w:val="single"/>
                  <w:lang w:eastAsia="es-MX"/>
                </w:rPr>
                <w:t xml:space="preserve"> el día 30 de septiembre de 2011</w:t>
              </w:r>
              <w:r w:rsidRPr="008D701D">
                <w:rPr>
                  <w:rFonts w:ascii="Verdana" w:eastAsia="Times New Roman" w:hAnsi="Verdana" w:cs="Times New Roman"/>
                  <w:color w:val="006666"/>
                  <w:sz w:val="20"/>
                  <w:szCs w:val="20"/>
                  <w:u w:val="single"/>
                  <w:lang w:eastAsia="es-MX"/>
                </w:rPr>
                <w:t>)</w:t>
              </w:r>
            </w:hyperlink>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décimo tercero.-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tc>
      </w:tr>
      <w:tr w:rsidR="0077673A" w:rsidRPr="0077673A" w:rsidTr="0077673A">
        <w:trPr>
          <w:gridAfter w:val="2"/>
          <w:wAfter w:w="8" w:type="pct"/>
          <w:tblCellSpacing w:w="0" w:type="dxa"/>
          <w:jc w:val="center"/>
        </w:trPr>
        <w:tc>
          <w:tcPr>
            <w:tcW w:w="4992" w:type="pct"/>
            <w:vAlign w:val="center"/>
            <w:hideMark/>
          </w:tcPr>
          <w:p w:rsidR="0077673A" w:rsidRDefault="0077673A" w:rsidP="0077673A">
            <w:pPr>
              <w:spacing w:after="0" w:line="240" w:lineRule="auto"/>
              <w:jc w:val="both"/>
              <w:rPr>
                <w:rFonts w:ascii="Verdana" w:eastAsia="Times New Roman" w:hAnsi="Verdana" w:cs="Times New Roman"/>
                <w:color w:val="333333"/>
                <w:sz w:val="20"/>
                <w:szCs w:val="20"/>
                <w:lang w:eastAsia="es-MX"/>
              </w:rPr>
            </w:pPr>
          </w:p>
          <w:p w:rsidR="0077673A" w:rsidRPr="0077673A" w:rsidRDefault="0077673A" w:rsidP="0077673A">
            <w:pPr>
              <w:spacing w:after="0" w:line="240" w:lineRule="auto"/>
              <w:jc w:val="both"/>
              <w:rPr>
                <w:rFonts w:ascii="Verdana" w:eastAsia="Times New Roman" w:hAnsi="Verdana" w:cs="Times New Roman"/>
                <w:color w:val="333333"/>
                <w:sz w:val="20"/>
                <w:szCs w:val="20"/>
                <w:lang w:eastAsia="es-MX"/>
              </w:rPr>
            </w:pPr>
          </w:p>
        </w:tc>
      </w:tr>
      <w:tr w:rsidR="0077673A" w:rsidRPr="0077673A" w:rsidTr="0077673A">
        <w:trPr>
          <w:gridAfter w:val="2"/>
          <w:wAfter w:w="8" w:type="pct"/>
          <w:tblCellSpacing w:w="0" w:type="dxa"/>
          <w:jc w:val="center"/>
        </w:trPr>
        <w:tc>
          <w:tcPr>
            <w:tcW w:w="4992" w:type="pct"/>
            <w:vAlign w:val="center"/>
            <w:hideMark/>
          </w:tcPr>
          <w:p w:rsidR="0077673A" w:rsidRPr="0077673A" w:rsidRDefault="0077673A" w:rsidP="0086768A">
            <w:pPr>
              <w:spacing w:after="0" w:line="240" w:lineRule="auto"/>
              <w:jc w:val="center"/>
              <w:rPr>
                <w:rFonts w:ascii="Verdana" w:eastAsia="Times New Roman" w:hAnsi="Verdana" w:cs="Times New Roman"/>
                <w:color w:val="333333"/>
                <w:sz w:val="20"/>
                <w:szCs w:val="20"/>
                <w:lang w:eastAsia="es-MX"/>
              </w:rPr>
            </w:pPr>
            <w:bookmarkStart w:id="3" w:name="pr3"/>
            <w:bookmarkEnd w:id="3"/>
            <w:r w:rsidRPr="0077673A">
              <w:rPr>
                <w:rFonts w:ascii="Verdana" w:eastAsia="Times New Roman" w:hAnsi="Verdana" w:cs="Times New Roman"/>
                <w:b/>
                <w:bCs/>
                <w:color w:val="333333"/>
                <w:sz w:val="20"/>
                <w:szCs w:val="20"/>
                <w:lang w:eastAsia="es-MX"/>
              </w:rPr>
              <w:t>Capítulo III</w:t>
            </w:r>
            <w:r w:rsidRPr="0077673A">
              <w:rPr>
                <w:rFonts w:ascii="Verdana" w:eastAsia="Times New Roman" w:hAnsi="Verdana" w:cs="Arial"/>
                <w:b/>
                <w:bCs/>
                <w:color w:val="333333"/>
                <w:sz w:val="20"/>
                <w:szCs w:val="20"/>
                <w:lang w:eastAsia="es-MX"/>
              </w:rPr>
              <w:br/>
            </w:r>
            <w:r w:rsidRPr="0077673A">
              <w:rPr>
                <w:rFonts w:ascii="Verdana" w:eastAsia="Times New Roman" w:hAnsi="Verdana" w:cs="Times New Roman"/>
                <w:b/>
                <w:bCs/>
                <w:color w:val="333333"/>
                <w:sz w:val="20"/>
                <w:szCs w:val="20"/>
                <w:lang w:eastAsia="es-MX"/>
              </w:rPr>
              <w:t>Del concurso y asignación de premios</w:t>
            </w:r>
          </w:p>
        </w:tc>
      </w:tr>
      <w:tr w:rsidR="0077673A" w:rsidRPr="0077673A" w:rsidTr="0077673A">
        <w:trPr>
          <w:tblCellSpacing w:w="0" w:type="dxa"/>
          <w:jc w:val="center"/>
        </w:trPr>
        <w:tc>
          <w:tcPr>
            <w:tcW w:w="4992" w:type="pct"/>
            <w:vAlign w:val="center"/>
            <w:hideMark/>
          </w:tcPr>
          <w:p w:rsidR="0077673A" w:rsidRPr="0077673A" w:rsidRDefault="0077673A" w:rsidP="0077673A">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77673A" w:rsidRPr="0077673A" w:rsidRDefault="0077673A" w:rsidP="0077673A">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77673A" w:rsidRPr="0077673A" w:rsidRDefault="0077673A" w:rsidP="0077673A">
            <w:pPr>
              <w:spacing w:after="0" w:line="240" w:lineRule="auto"/>
              <w:jc w:val="both"/>
              <w:rPr>
                <w:rFonts w:ascii="Verdana" w:eastAsia="Times New Roman" w:hAnsi="Verdana" w:cs="Times New Roman"/>
                <w:color w:val="333333"/>
                <w:sz w:val="20"/>
                <w:szCs w:val="20"/>
                <w:lang w:eastAsia="es-MX"/>
              </w:rPr>
            </w:pPr>
          </w:p>
        </w:tc>
      </w:tr>
      <w:tr w:rsidR="0077673A" w:rsidRPr="0077673A" w:rsidTr="0077673A">
        <w:trPr>
          <w:tblCellSpacing w:w="0" w:type="dxa"/>
          <w:jc w:val="center"/>
        </w:trPr>
        <w:tc>
          <w:tcPr>
            <w:tcW w:w="4992" w:type="pct"/>
            <w:vAlign w:val="center"/>
            <w:hideMark/>
          </w:tcPr>
          <w:p w:rsidR="0077673A" w:rsidRPr="0077673A" w:rsidRDefault="0077673A" w:rsidP="0086768A">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br/>
              <w:t>Título I</w:t>
            </w:r>
            <w:r w:rsidRPr="0077673A">
              <w:rPr>
                <w:rFonts w:ascii="Verdana" w:eastAsia="Times New Roman" w:hAnsi="Verdana" w:cs="Times New Roman"/>
                <w:b/>
                <w:bCs/>
                <w:color w:val="333333"/>
                <w:sz w:val="20"/>
                <w:szCs w:val="20"/>
                <w:lang w:eastAsia="es-MX"/>
              </w:rPr>
              <w:br/>
              <w:t>De los concursos y sorteos</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décimo cuarto.- </w:t>
            </w:r>
            <w:r w:rsidRPr="0077673A">
              <w:rPr>
                <w:rFonts w:ascii="Verdana" w:eastAsia="Times New Roman" w:hAnsi="Verdana" w:cs="Times New Roman"/>
                <w:color w:val="333333"/>
                <w:sz w:val="20"/>
                <w:szCs w:val="20"/>
                <w:lang w:eastAsia="es-MX"/>
              </w:rPr>
              <w:t>La operación y celebración de los concursos y sorteos determinados por Pronósticos, se llevarán a cabo conforme al Reglamento vigente de cada p</w:t>
            </w:r>
            <w:r w:rsidR="0086768A">
              <w:rPr>
                <w:rFonts w:ascii="Verdana" w:eastAsia="Times New Roman" w:hAnsi="Verdana" w:cs="Times New Roman"/>
                <w:color w:val="333333"/>
                <w:sz w:val="20"/>
                <w:szCs w:val="20"/>
                <w:lang w:eastAsia="es-MX"/>
              </w:rPr>
              <w:t>roducto</w:t>
            </w:r>
            <w:r w:rsidRPr="0077673A">
              <w:rPr>
                <w:rFonts w:ascii="Verdana" w:eastAsia="Times New Roman" w:hAnsi="Verdana" w:cs="Times New Roman"/>
                <w:color w:val="333333"/>
                <w:sz w:val="20"/>
                <w:szCs w:val="20"/>
                <w:lang w:eastAsia="es-MX"/>
              </w:rPr>
              <w:t xml:space="preserve">.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Artículo décimo quinto.-</w:t>
            </w:r>
            <w:r w:rsidRPr="0077673A">
              <w:rPr>
                <w:rFonts w:ascii="Verdana" w:eastAsia="Times New Roman" w:hAnsi="Verdana" w:cs="Times New Roman"/>
                <w:color w:val="333333"/>
                <w:sz w:val="20"/>
                <w:szCs w:val="20"/>
                <w:lang w:eastAsia="es-MX"/>
              </w:rPr>
              <w:t xml:space="preserve"> 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Artículo décimo sexto.-</w:t>
            </w:r>
            <w:r w:rsidRPr="0077673A">
              <w:rPr>
                <w:rFonts w:ascii="Verdana" w:eastAsia="Times New Roman" w:hAnsi="Verdana" w:cs="Times New Roman"/>
                <w:color w:val="333333"/>
                <w:sz w:val="20"/>
                <w:szCs w:val="20"/>
                <w:lang w:eastAsia="es-MX"/>
              </w:rPr>
              <w:t xml:space="preserve"> 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décimo </w:t>
            </w:r>
            <w:proofErr w:type="spellStart"/>
            <w:r w:rsidRPr="0077673A">
              <w:rPr>
                <w:rFonts w:ascii="Verdana" w:eastAsia="Times New Roman" w:hAnsi="Verdana" w:cs="Times New Roman"/>
                <w:b/>
                <w:bCs/>
                <w:color w:val="333333"/>
                <w:sz w:val="20"/>
                <w:szCs w:val="20"/>
                <w:lang w:eastAsia="es-MX"/>
              </w:rPr>
              <w:t>septimo</w:t>
            </w:r>
            <w:proofErr w:type="spellEnd"/>
            <w:r w:rsidRPr="0077673A">
              <w:rPr>
                <w:rFonts w:ascii="Verdana" w:eastAsia="Times New Roman" w:hAnsi="Verdana" w:cs="Times New Roman"/>
                <w:b/>
                <w:bCs/>
                <w:color w:val="333333"/>
                <w:sz w:val="20"/>
                <w:szCs w:val="20"/>
                <w:lang w:eastAsia="es-MX"/>
              </w:rPr>
              <w:t>.-</w:t>
            </w:r>
            <w:r w:rsidRPr="0077673A">
              <w:rPr>
                <w:rFonts w:ascii="Verdana" w:eastAsia="Times New Roman" w:hAnsi="Verdana" w:cs="Times New Roman"/>
                <w:color w:val="333333"/>
                <w:sz w:val="20"/>
                <w:szCs w:val="20"/>
                <w:lang w:eastAsia="es-MX"/>
              </w:rPr>
              <w:t xml:space="preserve"> 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86768A">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Título II</w:t>
            </w:r>
            <w:r w:rsidRPr="0077673A">
              <w:rPr>
                <w:rFonts w:ascii="Verdana" w:eastAsia="Times New Roman" w:hAnsi="Verdana" w:cs="Times New Roman"/>
                <w:b/>
                <w:bCs/>
                <w:color w:val="333333"/>
                <w:sz w:val="20"/>
                <w:szCs w:val="20"/>
                <w:lang w:eastAsia="es-MX"/>
              </w:rPr>
              <w:br/>
              <w:t>De los concursos deportivos</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w:t>
            </w:r>
            <w:proofErr w:type="spellStart"/>
            <w:r w:rsidRPr="0077673A">
              <w:rPr>
                <w:rFonts w:ascii="Verdana" w:eastAsia="Times New Roman" w:hAnsi="Verdana" w:cs="Times New Roman"/>
                <w:b/>
                <w:bCs/>
                <w:color w:val="333333"/>
                <w:sz w:val="20"/>
                <w:szCs w:val="20"/>
                <w:lang w:eastAsia="es-MX"/>
              </w:rPr>
              <w:t>decimo</w:t>
            </w:r>
            <w:proofErr w:type="spellEnd"/>
            <w:r w:rsidRPr="0077673A">
              <w:rPr>
                <w:rFonts w:ascii="Verdana" w:eastAsia="Times New Roman" w:hAnsi="Verdana" w:cs="Times New Roman"/>
                <w:b/>
                <w:bCs/>
                <w:color w:val="333333"/>
                <w:sz w:val="20"/>
                <w:szCs w:val="20"/>
                <w:lang w:eastAsia="es-MX"/>
              </w:rPr>
              <w:t xml:space="preserve"> octavo.-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decimonoveno.-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 xml:space="preserve">(Derogado mediante reforma publicado en el Diario Oficial de la Federación el día 29 </w:t>
            </w:r>
            <w:r w:rsidRPr="0077673A">
              <w:rPr>
                <w:rFonts w:ascii="Verdana" w:eastAsia="Times New Roman" w:hAnsi="Verdana" w:cs="Times New Roman"/>
                <w:color w:val="333333"/>
                <w:sz w:val="20"/>
                <w:szCs w:val="20"/>
                <w:lang w:eastAsia="es-MX"/>
              </w:rPr>
              <w:lastRenderedPageBreak/>
              <w:t>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vigésimo.-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vigésimo primero.-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vigésimo segundo.-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vigésimo tercero.-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vigésimo cuarto.-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vigésimo quinto.-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vigésimo sexto.-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vigésimo séptimo.-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Artículo vigésimo octavo.-</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vigésimo noveno.-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 xml:space="preserve">(Derogado mediante reforma publicado en el Diario Oficial de la Federación el día 29 </w:t>
            </w:r>
            <w:r w:rsidRPr="0077673A">
              <w:rPr>
                <w:rFonts w:ascii="Verdana" w:eastAsia="Times New Roman" w:hAnsi="Verdana" w:cs="Times New Roman"/>
                <w:color w:val="333333"/>
                <w:sz w:val="20"/>
                <w:szCs w:val="20"/>
                <w:lang w:eastAsia="es-MX"/>
              </w:rPr>
              <w:lastRenderedPageBreak/>
              <w:t>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trigésimo.-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Artículo trigésimo primero.-</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trigésimo segundo.-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86768A">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Título III</w:t>
            </w:r>
            <w:r w:rsidRPr="0077673A">
              <w:rPr>
                <w:rFonts w:ascii="Verdana" w:eastAsia="Times New Roman" w:hAnsi="Verdana" w:cs="Times New Roman"/>
                <w:b/>
                <w:bCs/>
                <w:color w:val="333333"/>
                <w:sz w:val="20"/>
                <w:szCs w:val="20"/>
                <w:lang w:eastAsia="es-MX"/>
              </w:rPr>
              <w:br/>
              <w:t>Del pago de premios</w:t>
            </w:r>
          </w:p>
          <w:p w:rsidR="0086768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Artículo trigésimo tercero.-</w:t>
            </w:r>
            <w:r w:rsidRPr="0077673A">
              <w:rPr>
                <w:rFonts w:ascii="Verdana" w:eastAsia="Times New Roman" w:hAnsi="Verdana" w:cs="Times New Roman"/>
                <w:color w:val="333333"/>
                <w:sz w:val="20"/>
                <w:szCs w:val="20"/>
                <w:lang w:eastAsia="es-MX"/>
              </w:rPr>
              <w:t xml:space="preserve"> El pago de los premios determinados en un concurso o sorteo, se hará a los interesados en los lugares de cobro definidos por Pronósticos o mediante la dispersión electrónica de fondos a través de los bancos autorizados por Pronósticos o a través de la Cuenta Electrónica Pronósticos; todo lo anterior dependiendo del dispositivo electrónico utilizado y que se les dará a conocer a los concursantes, o bien, en las oficinas centrales de Pronósticos.</w:t>
            </w:r>
          </w:p>
          <w:p w:rsidR="0086768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Los concursantes ganadores deberán presentar para el cobro de su premio, en su caso, la tarjeta de prepago, monedero electrónico o la constancia de participación impresa o digital o cualquier otro que defina Pronósticos y que informará a los concursantes dependiendo del dispositivo electrónico que utilicen. Para el caso de concursantes previamente registrados o autenticados por los sistemas autorizados por Pronósticos, la dispersión podrá hacerse directamente a su cuenta virtual.</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Los concursantes ganadores podrán cobrar su premio, una vez publicados los resultados de los concursos o sorteos en los que el concursante participó. Lo anterior no aplica al sorteo denominado Pronósticos Rápidos.</w:t>
            </w:r>
          </w:p>
          <w:p w:rsidR="0086768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(Modificado mediante reforma publicado en el Diario Oficial de la Federación el día 20 de mayo de 2009)</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trigésimo cuarto.- </w:t>
            </w:r>
            <w:r w:rsidRPr="0077673A">
              <w:rPr>
                <w:rFonts w:ascii="Verdana" w:eastAsia="Times New Roman" w:hAnsi="Verdana" w:cs="Times New Roman"/>
                <w:color w:val="333333"/>
                <w:sz w:val="20"/>
                <w:szCs w:val="20"/>
                <w:lang w:eastAsia="es-MX"/>
              </w:rPr>
              <w:t xml:space="preserve">Podrán, igualmente, cobrarse los premios, en las sucursales u otras instituciones u organismos autorizados por Pronósticos. Dichas sucursales, instituciones u organismo autorizados por Pronósticos. Dichas sucursales, instituciones organismos autorizados se sujetarán a las mismas normas que se indican en este capítulo, para pagar los premios que directamente soliciten de ellas.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trigésimo quinto.- </w:t>
            </w:r>
            <w:r w:rsidRPr="0077673A">
              <w:rPr>
                <w:rFonts w:ascii="Verdana" w:eastAsia="Times New Roman" w:hAnsi="Verdana" w:cs="Times New Roman"/>
                <w:color w:val="333333"/>
                <w:sz w:val="20"/>
                <w:szCs w:val="20"/>
                <w:lang w:eastAsia="es-MX"/>
              </w:rPr>
              <w:t xml:space="preserve">Solo por orden de autoridad judicial competente podrá </w:t>
            </w:r>
            <w:r w:rsidRPr="0077673A">
              <w:rPr>
                <w:rFonts w:ascii="Verdana" w:eastAsia="Times New Roman" w:hAnsi="Verdana" w:cs="Times New Roman"/>
                <w:color w:val="333333"/>
                <w:sz w:val="20"/>
                <w:szCs w:val="20"/>
                <w:lang w:eastAsia="es-MX"/>
              </w:rPr>
              <w:lastRenderedPageBreak/>
              <w:t xml:space="preserve">suspenderse el pago de un premio correspondiente a un boleto incluido en la lista de ganadores.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trigésimo sexto.- </w:t>
            </w:r>
            <w:r w:rsidRPr="0077673A">
              <w:rPr>
                <w:rFonts w:ascii="Verdana" w:eastAsia="Times New Roman" w:hAnsi="Verdana" w:cs="Times New Roman"/>
                <w:color w:val="333333"/>
                <w:sz w:val="20"/>
                <w:szCs w:val="20"/>
                <w:lang w:eastAsia="es-MX"/>
              </w:rPr>
              <w:t xml:space="preserve">Al cubrir el importe de cada premio, Pronósticos, deberá descontar y retener el monto del impuesto correspondiente que fijen las leyes respectivas.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trigésimo séptimo.- </w:t>
            </w:r>
            <w:r w:rsidRPr="0077673A">
              <w:rPr>
                <w:rFonts w:ascii="Verdana" w:eastAsia="Times New Roman" w:hAnsi="Verdana" w:cs="Times New Roman"/>
                <w:color w:val="333333"/>
                <w:sz w:val="20"/>
                <w:szCs w:val="20"/>
                <w:lang w:eastAsia="es-MX"/>
              </w:rPr>
              <w:t xml:space="preserve">El derecho al cobro del importe de cada premio, caducará en un plazo de 60 días naturales contados a partir del día siguiente a la fecha de publicación de la lista resultante de la selección de ganadores respectiva. El importe de los premios caducos, ingresará al patrimonio de Pronósticos.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trigésimo octavo.-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86768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Artículo trigésimo noveno.-</w:t>
            </w:r>
            <w:r w:rsidRPr="0077673A">
              <w:rPr>
                <w:rFonts w:ascii="Verdana" w:eastAsia="Times New Roman" w:hAnsi="Verdana" w:cs="Times New Roman"/>
                <w:color w:val="333333"/>
                <w:sz w:val="20"/>
                <w:szCs w:val="20"/>
                <w:lang w:eastAsia="es-MX"/>
              </w:rPr>
              <w:t xml:space="preserve"> Los concursantes atenderán fielmente el contenido de este Reglamento y demás normatividad emitida por Pronósticos. Las omisiones, errores o faltas imputables a ellos, a su personal dependiente o terceros, por inobservancia o violación de las normas reglamentarias aplicables, no constituirán responsabilidad a cargo de Pronósticos.</w:t>
            </w:r>
          </w:p>
          <w:p w:rsidR="0077673A" w:rsidRDefault="0077673A" w:rsidP="0086768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 xml:space="preserve">(Modificado mediante reforma publicado en el Diario Oficial de la Federación el día 20 de mayo de 2009) </w:t>
            </w:r>
          </w:p>
          <w:p w:rsidR="0077673A" w:rsidRPr="0077673A" w:rsidRDefault="0077673A" w:rsidP="0086768A">
            <w:pPr>
              <w:spacing w:before="100" w:beforeAutospacing="1" w:after="100" w:afterAutospacing="1" w:line="240" w:lineRule="auto"/>
              <w:jc w:val="both"/>
              <w:rPr>
                <w:rFonts w:ascii="Verdana" w:eastAsia="Times New Roman" w:hAnsi="Verdana" w:cs="Times New Roman"/>
                <w:color w:val="333333"/>
                <w:sz w:val="20"/>
                <w:szCs w:val="20"/>
                <w:lang w:eastAsia="es-MX"/>
              </w:rPr>
            </w:pPr>
          </w:p>
        </w:tc>
        <w:tc>
          <w:tcPr>
            <w:tcW w:w="4" w:type="pct"/>
            <w:vAlign w:val="center"/>
            <w:hideMark/>
          </w:tcPr>
          <w:p w:rsidR="0077673A" w:rsidRPr="0077673A" w:rsidRDefault="0077673A" w:rsidP="0077673A">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77673A" w:rsidRPr="0077673A" w:rsidRDefault="0077673A" w:rsidP="0077673A">
            <w:pPr>
              <w:spacing w:after="0" w:line="240" w:lineRule="auto"/>
              <w:jc w:val="both"/>
              <w:rPr>
                <w:rFonts w:ascii="Verdana" w:eastAsia="Times New Roman" w:hAnsi="Verdana" w:cs="Times New Roman"/>
                <w:sz w:val="20"/>
                <w:szCs w:val="20"/>
                <w:lang w:eastAsia="es-MX"/>
              </w:rPr>
            </w:pPr>
          </w:p>
        </w:tc>
      </w:tr>
      <w:tr w:rsidR="0077673A" w:rsidRPr="0077673A" w:rsidTr="0077673A">
        <w:trPr>
          <w:tblCellSpacing w:w="0" w:type="dxa"/>
          <w:jc w:val="center"/>
        </w:trPr>
        <w:tc>
          <w:tcPr>
            <w:tcW w:w="4992" w:type="pct"/>
            <w:vAlign w:val="center"/>
            <w:hideMark/>
          </w:tcPr>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p>
        </w:tc>
        <w:tc>
          <w:tcPr>
            <w:tcW w:w="4" w:type="pct"/>
            <w:vAlign w:val="center"/>
            <w:hideMark/>
          </w:tcPr>
          <w:p w:rsidR="0077673A" w:rsidRPr="0077673A" w:rsidRDefault="0077673A" w:rsidP="0077673A">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77673A" w:rsidRPr="0077673A" w:rsidRDefault="0077673A" w:rsidP="0077673A">
            <w:pPr>
              <w:spacing w:after="0" w:line="240" w:lineRule="auto"/>
              <w:jc w:val="both"/>
              <w:rPr>
                <w:rFonts w:ascii="Verdana" w:eastAsia="Times New Roman" w:hAnsi="Verdana" w:cs="Times New Roman"/>
                <w:sz w:val="20"/>
                <w:szCs w:val="20"/>
                <w:lang w:eastAsia="es-MX"/>
              </w:rPr>
            </w:pPr>
          </w:p>
        </w:tc>
      </w:tr>
      <w:tr w:rsidR="0077673A" w:rsidRPr="0077673A" w:rsidTr="0077673A">
        <w:trPr>
          <w:tblCellSpacing w:w="0" w:type="dxa"/>
          <w:jc w:val="center"/>
        </w:trPr>
        <w:tc>
          <w:tcPr>
            <w:tcW w:w="4992" w:type="pct"/>
            <w:vAlign w:val="center"/>
            <w:hideMark/>
          </w:tcPr>
          <w:p w:rsidR="0077673A" w:rsidRPr="0077673A" w:rsidRDefault="0077673A" w:rsidP="0086768A">
            <w:pPr>
              <w:spacing w:after="0" w:line="240" w:lineRule="auto"/>
              <w:jc w:val="center"/>
              <w:rPr>
                <w:rFonts w:ascii="Verdana" w:eastAsia="Times New Roman" w:hAnsi="Verdana" w:cs="Times New Roman"/>
                <w:color w:val="333333"/>
                <w:sz w:val="20"/>
                <w:szCs w:val="20"/>
                <w:lang w:eastAsia="es-MX"/>
              </w:rPr>
            </w:pPr>
            <w:bookmarkStart w:id="4" w:name="pr4"/>
            <w:bookmarkEnd w:id="4"/>
            <w:r w:rsidRPr="0077673A">
              <w:rPr>
                <w:rFonts w:ascii="Verdana" w:eastAsia="Times New Roman" w:hAnsi="Verdana" w:cs="Times New Roman"/>
                <w:b/>
                <w:bCs/>
                <w:color w:val="333333"/>
                <w:sz w:val="20"/>
                <w:szCs w:val="20"/>
                <w:lang w:eastAsia="es-MX"/>
              </w:rPr>
              <w:t>Capítulo IV</w:t>
            </w:r>
            <w:r w:rsidRPr="0077673A">
              <w:rPr>
                <w:rFonts w:ascii="Verdana" w:eastAsia="Times New Roman" w:hAnsi="Verdana" w:cs="Times New Roman"/>
                <w:b/>
                <w:bCs/>
                <w:color w:val="333333"/>
                <w:sz w:val="20"/>
                <w:szCs w:val="20"/>
                <w:lang w:eastAsia="es-MX"/>
              </w:rPr>
              <w:br/>
              <w:t>Distribución de fondos</w:t>
            </w:r>
          </w:p>
        </w:tc>
        <w:tc>
          <w:tcPr>
            <w:tcW w:w="4" w:type="pct"/>
            <w:vAlign w:val="center"/>
            <w:hideMark/>
          </w:tcPr>
          <w:p w:rsidR="0077673A" w:rsidRPr="0077673A" w:rsidRDefault="0077673A" w:rsidP="0077673A">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77673A" w:rsidRPr="0077673A" w:rsidRDefault="0077673A" w:rsidP="0077673A">
            <w:pPr>
              <w:spacing w:after="0" w:line="240" w:lineRule="auto"/>
              <w:jc w:val="both"/>
              <w:rPr>
                <w:rFonts w:ascii="Verdana" w:eastAsia="Times New Roman" w:hAnsi="Verdana" w:cs="Times New Roman"/>
                <w:sz w:val="20"/>
                <w:szCs w:val="20"/>
                <w:lang w:eastAsia="es-MX"/>
              </w:rPr>
            </w:pPr>
          </w:p>
        </w:tc>
      </w:tr>
      <w:tr w:rsidR="0077673A" w:rsidRPr="0077673A" w:rsidTr="0077673A">
        <w:trPr>
          <w:tblCellSpacing w:w="0" w:type="dxa"/>
          <w:jc w:val="center"/>
        </w:trPr>
        <w:tc>
          <w:tcPr>
            <w:tcW w:w="4992" w:type="pct"/>
            <w:vAlign w:val="center"/>
            <w:hideMark/>
          </w:tcPr>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br/>
            </w:r>
            <w:r w:rsidRPr="0077673A">
              <w:rPr>
                <w:rFonts w:ascii="Verdana" w:eastAsia="Times New Roman" w:hAnsi="Verdana" w:cs="Times New Roman"/>
                <w:b/>
                <w:bCs/>
                <w:color w:val="333333"/>
                <w:sz w:val="20"/>
                <w:szCs w:val="20"/>
                <w:lang w:eastAsia="es-MX"/>
              </w:rPr>
              <w:t xml:space="preserve">Artículo cuadragésimo.-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 xml:space="preserve">Artículo cuadragésimo primero.- </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77673A" w:rsidRPr="0077673A" w:rsidRDefault="0077673A" w:rsidP="0077673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Artículo cuadragésimo segundo.-</w:t>
            </w:r>
            <w:r w:rsidRPr="0077673A">
              <w:rPr>
                <w:rFonts w:ascii="Verdana" w:eastAsia="Times New Roman" w:hAnsi="Verdana" w:cs="Times New Roman"/>
                <w:color w:val="333333"/>
                <w:sz w:val="20"/>
                <w:szCs w:val="20"/>
                <w:lang w:eastAsia="es-MX"/>
              </w:rPr>
              <w:t xml:space="preserve">Derogado </w:t>
            </w:r>
          </w:p>
          <w:p w:rsidR="0077673A" w:rsidRPr="0077673A" w:rsidRDefault="0077673A" w:rsidP="0077673A">
            <w:pPr>
              <w:spacing w:before="100" w:beforeAutospacing="1" w:after="240"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(Derogado mediante reforma publicado en el Diario Oficial de la Federación el día 29 de febrero de 2008)</w:t>
            </w:r>
          </w:p>
          <w:p w:rsidR="0086768A" w:rsidRDefault="0077673A" w:rsidP="0086768A">
            <w:pPr>
              <w:spacing w:before="100" w:beforeAutospacing="1" w:after="100" w:afterAutospacing="1" w:line="240" w:lineRule="auto"/>
              <w:jc w:val="center"/>
              <w:rPr>
                <w:rFonts w:ascii="Verdana" w:eastAsia="Times New Roman" w:hAnsi="Verdana" w:cs="Times New Roman"/>
                <w:b/>
                <w:bCs/>
                <w:color w:val="333333"/>
                <w:sz w:val="20"/>
                <w:szCs w:val="20"/>
                <w:lang w:eastAsia="es-MX"/>
              </w:rPr>
            </w:pPr>
            <w:r w:rsidRPr="0077673A">
              <w:rPr>
                <w:rFonts w:ascii="Verdana" w:eastAsia="Times New Roman" w:hAnsi="Verdana" w:cs="Times New Roman"/>
                <w:b/>
                <w:bCs/>
                <w:color w:val="333333"/>
                <w:sz w:val="20"/>
                <w:szCs w:val="20"/>
                <w:lang w:eastAsia="es-MX"/>
              </w:rPr>
              <w:t>TRANSITORIOS</w:t>
            </w:r>
            <w:r w:rsidRPr="0077673A">
              <w:rPr>
                <w:rFonts w:ascii="Verdana" w:eastAsia="Times New Roman" w:hAnsi="Verdana" w:cs="Times New Roman"/>
                <w:color w:val="333333"/>
                <w:sz w:val="20"/>
                <w:szCs w:val="20"/>
                <w:lang w:eastAsia="es-MX"/>
              </w:rPr>
              <w:br/>
            </w:r>
          </w:p>
          <w:p w:rsidR="0086768A" w:rsidRDefault="0086768A" w:rsidP="0086768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PRIMERO</w:t>
            </w:r>
            <w:r w:rsidR="0077673A" w:rsidRPr="0077673A">
              <w:rPr>
                <w:rFonts w:ascii="Verdana" w:eastAsia="Times New Roman" w:hAnsi="Verdana" w:cs="Times New Roman"/>
                <w:b/>
                <w:bCs/>
                <w:color w:val="333333"/>
                <w:sz w:val="20"/>
                <w:szCs w:val="20"/>
                <w:lang w:eastAsia="es-MX"/>
              </w:rPr>
              <w:t>.-</w:t>
            </w:r>
            <w:r w:rsidR="0077673A" w:rsidRPr="0077673A">
              <w:rPr>
                <w:rFonts w:ascii="Verdana" w:eastAsia="Times New Roman" w:hAnsi="Verdana" w:cs="Times New Roman"/>
                <w:color w:val="333333"/>
                <w:sz w:val="20"/>
                <w:szCs w:val="20"/>
                <w:lang w:eastAsia="es-MX"/>
              </w:rPr>
              <w:t>El presente acuerdo entrará en vigor al siguiente día de su publicación en el Diario Oficial de</w:t>
            </w:r>
            <w:r>
              <w:rPr>
                <w:rFonts w:ascii="Verdana" w:eastAsia="Times New Roman" w:hAnsi="Verdana" w:cs="Times New Roman"/>
                <w:color w:val="333333"/>
                <w:sz w:val="20"/>
                <w:szCs w:val="20"/>
                <w:lang w:eastAsia="es-MX"/>
              </w:rPr>
              <w:t xml:space="preserve"> </w:t>
            </w:r>
            <w:r w:rsidR="0077673A" w:rsidRPr="0077673A">
              <w:rPr>
                <w:rFonts w:ascii="Verdana" w:eastAsia="Times New Roman" w:hAnsi="Verdana" w:cs="Times New Roman"/>
                <w:color w:val="333333"/>
                <w:sz w:val="20"/>
                <w:szCs w:val="20"/>
                <w:lang w:eastAsia="es-MX"/>
              </w:rPr>
              <w:t>la Federación.</w:t>
            </w:r>
          </w:p>
          <w:p w:rsidR="0086768A" w:rsidRDefault="0086768A" w:rsidP="0086768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lastRenderedPageBreak/>
              <w:t>SEGUNDO</w:t>
            </w:r>
            <w:r w:rsidR="0077673A" w:rsidRPr="0077673A">
              <w:rPr>
                <w:rFonts w:ascii="Verdana" w:eastAsia="Times New Roman" w:hAnsi="Verdana" w:cs="Times New Roman"/>
                <w:color w:val="333333"/>
                <w:sz w:val="20"/>
                <w:szCs w:val="20"/>
                <w:lang w:eastAsia="es-MX"/>
              </w:rPr>
              <w:t>.- Se derogan todas las disposiciones que se opongan al presente acuerdo.</w:t>
            </w:r>
          </w:p>
          <w:p w:rsidR="0086768A" w:rsidRDefault="0086768A" w:rsidP="0086768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b/>
                <w:bCs/>
                <w:color w:val="333333"/>
                <w:sz w:val="20"/>
                <w:szCs w:val="20"/>
                <w:lang w:eastAsia="es-MX"/>
              </w:rPr>
              <w:t>TERCERO</w:t>
            </w:r>
            <w:r w:rsidR="0077673A" w:rsidRPr="0077673A">
              <w:rPr>
                <w:rFonts w:ascii="Verdana" w:eastAsia="Times New Roman" w:hAnsi="Verdana" w:cs="Times New Roman"/>
                <w:b/>
                <w:bCs/>
                <w:color w:val="333333"/>
                <w:sz w:val="20"/>
                <w:szCs w:val="20"/>
                <w:lang w:eastAsia="es-MX"/>
              </w:rPr>
              <w:t>.-</w:t>
            </w:r>
            <w:r w:rsidR="0077673A" w:rsidRPr="0077673A">
              <w:rPr>
                <w:rFonts w:ascii="Verdana" w:eastAsia="Times New Roman" w:hAnsi="Verdana" w:cs="Times New Roman"/>
                <w:color w:val="333333"/>
                <w:sz w:val="20"/>
                <w:szCs w:val="20"/>
                <w:lang w:eastAsia="es-MX"/>
              </w:rPr>
              <w:t xml:space="preserve"> Los asuntos que se encuentren en trámite a la fecha de entrada en vigor del presente acuerdo, serán resueltos mediante las disposiciones que se encontraban vigentes al inicio de su trámite.</w:t>
            </w:r>
          </w:p>
          <w:p w:rsidR="0086768A" w:rsidRDefault="0077673A" w:rsidP="0086768A">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El Secretario del Consejo Directivo de conformidad con lo dispuesto en el artículo 12 fracción IX, certifica: que las presentes reformas al Reglamento de Pronósticos Interactivos de Pronósticos para la Asistencia Pública, fueron aprobadas por el Consejo Directivo de Pronósticos para la Asistencia Pública en Sesión Ordinaria número 179, celebrada el pasado 27 de octubre de 2008.</w:t>
            </w:r>
          </w:p>
          <w:p w:rsidR="0077673A" w:rsidRPr="0077673A" w:rsidRDefault="0077673A" w:rsidP="0086768A">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77673A">
              <w:rPr>
                <w:rFonts w:ascii="Verdana" w:eastAsia="Times New Roman" w:hAnsi="Verdana" w:cs="Times New Roman"/>
                <w:color w:val="333333"/>
                <w:sz w:val="20"/>
                <w:szCs w:val="20"/>
                <w:lang w:eastAsia="es-MX"/>
              </w:rPr>
              <w:t>México, D.F., a 12 de mayo de 2009.</w:t>
            </w:r>
            <w:r w:rsidRPr="0077673A">
              <w:rPr>
                <w:rFonts w:ascii="Verdana" w:eastAsia="Times New Roman" w:hAnsi="Verdana" w:cs="Times New Roman"/>
                <w:color w:val="333333"/>
                <w:sz w:val="20"/>
                <w:szCs w:val="20"/>
                <w:lang w:eastAsia="es-MX"/>
              </w:rPr>
              <w:br/>
              <w:t>El Secretario del Consejo Directivo</w:t>
            </w:r>
            <w:r w:rsidRPr="0077673A">
              <w:rPr>
                <w:rFonts w:ascii="Verdana" w:eastAsia="Times New Roman" w:hAnsi="Verdana" w:cs="Times New Roman"/>
                <w:color w:val="333333"/>
                <w:sz w:val="20"/>
                <w:szCs w:val="20"/>
                <w:lang w:eastAsia="es-MX"/>
              </w:rPr>
              <w:br/>
            </w:r>
            <w:r w:rsidRPr="0077673A">
              <w:rPr>
                <w:rFonts w:ascii="Verdana" w:eastAsia="Times New Roman" w:hAnsi="Verdana" w:cs="Times New Roman"/>
                <w:b/>
                <w:bCs/>
                <w:color w:val="333333"/>
                <w:sz w:val="20"/>
                <w:szCs w:val="20"/>
                <w:lang w:eastAsia="es-MX"/>
              </w:rPr>
              <w:t xml:space="preserve">Lic. Sergio Eduardo </w:t>
            </w:r>
            <w:proofErr w:type="spellStart"/>
            <w:r w:rsidRPr="0077673A">
              <w:rPr>
                <w:rFonts w:ascii="Verdana" w:eastAsia="Times New Roman" w:hAnsi="Verdana" w:cs="Times New Roman"/>
                <w:b/>
                <w:bCs/>
                <w:color w:val="333333"/>
                <w:sz w:val="20"/>
                <w:szCs w:val="20"/>
                <w:lang w:eastAsia="es-MX"/>
              </w:rPr>
              <w:t>Huacuja</w:t>
            </w:r>
            <w:proofErr w:type="spellEnd"/>
            <w:r w:rsidRPr="0077673A">
              <w:rPr>
                <w:rFonts w:ascii="Verdana" w:eastAsia="Times New Roman" w:hAnsi="Verdana" w:cs="Times New Roman"/>
                <w:b/>
                <w:bCs/>
                <w:color w:val="333333"/>
                <w:sz w:val="20"/>
                <w:szCs w:val="20"/>
                <w:lang w:eastAsia="es-MX"/>
              </w:rPr>
              <w:t xml:space="preserve"> Betancourt</w:t>
            </w:r>
            <w:r w:rsidRPr="0077673A">
              <w:rPr>
                <w:rFonts w:ascii="Verdana" w:eastAsia="Times New Roman" w:hAnsi="Verdana" w:cs="Times New Roman"/>
                <w:color w:val="333333"/>
                <w:sz w:val="20"/>
                <w:szCs w:val="20"/>
                <w:lang w:eastAsia="es-MX"/>
              </w:rPr>
              <w:br/>
              <w:t>Rúbrica.</w:t>
            </w:r>
          </w:p>
        </w:tc>
        <w:tc>
          <w:tcPr>
            <w:tcW w:w="4" w:type="pct"/>
            <w:vAlign w:val="center"/>
            <w:hideMark/>
          </w:tcPr>
          <w:p w:rsidR="0077673A" w:rsidRDefault="0077673A" w:rsidP="0077673A">
            <w:pPr>
              <w:spacing w:after="0" w:line="240" w:lineRule="auto"/>
              <w:jc w:val="both"/>
              <w:rPr>
                <w:rFonts w:ascii="Verdana" w:eastAsia="Times New Roman" w:hAnsi="Verdana" w:cs="Times New Roman"/>
                <w:sz w:val="20"/>
                <w:szCs w:val="20"/>
                <w:lang w:eastAsia="es-MX"/>
              </w:rPr>
            </w:pPr>
          </w:p>
          <w:p w:rsidR="0086768A" w:rsidRPr="0077673A" w:rsidRDefault="0086768A" w:rsidP="0077673A">
            <w:pPr>
              <w:spacing w:after="0" w:line="240" w:lineRule="auto"/>
              <w:jc w:val="both"/>
              <w:rPr>
                <w:rFonts w:ascii="Verdana" w:eastAsia="Times New Roman" w:hAnsi="Verdana" w:cs="Times New Roman"/>
                <w:sz w:val="20"/>
                <w:szCs w:val="20"/>
                <w:lang w:eastAsia="es-MX"/>
              </w:rPr>
            </w:pPr>
          </w:p>
        </w:tc>
        <w:tc>
          <w:tcPr>
            <w:tcW w:w="4" w:type="pct"/>
            <w:vAlign w:val="center"/>
            <w:hideMark/>
          </w:tcPr>
          <w:p w:rsidR="0077673A" w:rsidRPr="0077673A" w:rsidRDefault="0077673A" w:rsidP="0077673A">
            <w:pPr>
              <w:spacing w:after="0" w:line="240" w:lineRule="auto"/>
              <w:jc w:val="both"/>
              <w:rPr>
                <w:rFonts w:ascii="Verdana" w:eastAsia="Times New Roman" w:hAnsi="Verdana" w:cs="Times New Roman"/>
                <w:sz w:val="20"/>
                <w:szCs w:val="20"/>
                <w:lang w:eastAsia="es-MX"/>
              </w:rPr>
            </w:pPr>
          </w:p>
        </w:tc>
      </w:tr>
    </w:tbl>
    <w:p w:rsidR="0090136C" w:rsidRPr="0077673A" w:rsidRDefault="0090136C" w:rsidP="0077673A">
      <w:pPr>
        <w:jc w:val="both"/>
        <w:rPr>
          <w:rFonts w:ascii="Verdana" w:hAnsi="Verdana"/>
          <w:sz w:val="20"/>
          <w:szCs w:val="20"/>
        </w:rPr>
      </w:pPr>
    </w:p>
    <w:p w:rsidR="0077673A" w:rsidRPr="0077673A" w:rsidRDefault="0077673A" w:rsidP="0077673A">
      <w:pPr>
        <w:tabs>
          <w:tab w:val="left" w:pos="3590"/>
          <w:tab w:val="center" w:pos="4535"/>
        </w:tabs>
        <w:spacing w:after="120"/>
        <w:jc w:val="center"/>
        <w:rPr>
          <w:rFonts w:ascii="Verdana" w:hAnsi="Verdana" w:cs="Arial"/>
          <w:b/>
          <w:sz w:val="20"/>
          <w:szCs w:val="20"/>
        </w:rPr>
      </w:pPr>
      <w:r w:rsidRPr="0077673A">
        <w:rPr>
          <w:rFonts w:ascii="Verdana" w:hAnsi="Verdana" w:cs="Arial"/>
          <w:b/>
          <w:sz w:val="20"/>
          <w:szCs w:val="20"/>
        </w:rPr>
        <w:t>TRANSITORIOS</w:t>
      </w:r>
    </w:p>
    <w:p w:rsidR="0077673A" w:rsidRPr="0077673A" w:rsidRDefault="0077673A" w:rsidP="0077673A">
      <w:pPr>
        <w:spacing w:after="120"/>
        <w:jc w:val="both"/>
        <w:rPr>
          <w:rFonts w:ascii="Verdana" w:hAnsi="Verdana" w:cs="Arial"/>
          <w:sz w:val="20"/>
          <w:szCs w:val="20"/>
        </w:rPr>
      </w:pPr>
      <w:r w:rsidRPr="0077673A">
        <w:rPr>
          <w:rFonts w:ascii="Verdana" w:hAnsi="Verdana" w:cs="Arial"/>
          <w:b/>
          <w:sz w:val="20"/>
          <w:szCs w:val="20"/>
        </w:rPr>
        <w:t>PRIMERO.-</w:t>
      </w:r>
      <w:r w:rsidRPr="0077673A">
        <w:rPr>
          <w:rFonts w:ascii="Verdana" w:hAnsi="Verdana" w:cs="Arial"/>
          <w:sz w:val="20"/>
          <w:szCs w:val="20"/>
        </w:rPr>
        <w:t xml:space="preserve"> El presente Acuerdo entrará en vigor al día siguiente de su publicación en el Diario Oficial de la Federación.</w:t>
      </w:r>
    </w:p>
    <w:p w:rsidR="0077673A" w:rsidRPr="0077673A" w:rsidRDefault="0077673A" w:rsidP="0077673A">
      <w:pPr>
        <w:spacing w:after="120"/>
        <w:jc w:val="both"/>
        <w:rPr>
          <w:rFonts w:ascii="Verdana" w:hAnsi="Verdana" w:cs="Arial"/>
          <w:sz w:val="20"/>
          <w:szCs w:val="20"/>
        </w:rPr>
      </w:pPr>
      <w:r w:rsidRPr="0077673A">
        <w:rPr>
          <w:rFonts w:ascii="Verdana" w:hAnsi="Verdana" w:cs="Arial"/>
          <w:b/>
          <w:sz w:val="20"/>
          <w:szCs w:val="20"/>
        </w:rPr>
        <w:t>SEGUNDO.-</w:t>
      </w:r>
      <w:r w:rsidRPr="0077673A">
        <w:rPr>
          <w:rFonts w:ascii="Verdana" w:hAnsi="Verdana" w:cs="Arial"/>
          <w:sz w:val="20"/>
          <w:szCs w:val="20"/>
        </w:rPr>
        <w:t xml:space="preserve"> Se derogan todas aquellas disposiciones que se contrapongan a las establecidas en el presente Acuerdo.</w:t>
      </w:r>
    </w:p>
    <w:p w:rsidR="0077673A" w:rsidRPr="0077673A" w:rsidRDefault="0077673A" w:rsidP="0077673A">
      <w:pPr>
        <w:spacing w:after="120"/>
        <w:jc w:val="both"/>
        <w:rPr>
          <w:rFonts w:ascii="Verdana" w:eastAsia="Calibri" w:hAnsi="Verdana" w:cs="Arial"/>
          <w:sz w:val="20"/>
          <w:szCs w:val="20"/>
        </w:rPr>
      </w:pPr>
      <w:r w:rsidRPr="0077673A">
        <w:rPr>
          <w:rFonts w:ascii="Verdana" w:eastAsia="Calibri" w:hAnsi="Verdana" w:cs="Arial"/>
          <w:sz w:val="20"/>
          <w:szCs w:val="20"/>
        </w:rPr>
        <w:t xml:space="preserve">El Secretario del Consejo Directivo de Pronósticos para la Asistencia Pública, de conformidad con lo dispuesto en el artículo 12, fracción IX, del Estatuto Orgánico de Pronósticos para la Asistencia Pública, certifica que el </w:t>
      </w:r>
      <w:r w:rsidRPr="0077673A">
        <w:rPr>
          <w:rFonts w:ascii="Verdana" w:hAnsi="Verdana" w:cs="Arial"/>
          <w:b/>
          <w:sz w:val="20"/>
          <w:szCs w:val="20"/>
        </w:rPr>
        <w:t>“ACUERDO POR EL QUE SE REFORMAN DIVERSOS ARTÍCULOS DE LOS REGLAMENTOS DE LOS SORTEOS: CHISPAZO, GANA GATO, MELATE-REVANCHA,  FUNCIONAMIENTO DE LOS SORTEOS INSTANTÁNEOS EN LÍNEA, PRONÓSTICOS RÁPIDOS, TRIS, PRONOS MAS, MELATE RETRO, PRONÓSTICOS INTERACTIVOS Y DE LOS CONCURSOS PROTOUCH Y PROGOL, TODOS DE PRONÓSTICOS PARA LA ASISTENCIA PÚBLICA”</w:t>
      </w:r>
      <w:r w:rsidRPr="0077673A">
        <w:rPr>
          <w:rFonts w:ascii="Verdana" w:eastAsia="Calibri" w:hAnsi="Verdana" w:cs="Arial"/>
          <w:sz w:val="20"/>
          <w:szCs w:val="20"/>
        </w:rPr>
        <w:t>, fue aprobado por el Consejo Directivo de Pronósticos para la Asistencia Pública, en Sesión Ordinaria número 191, celebrada el 14 de septiembre de 2011.</w:t>
      </w:r>
    </w:p>
    <w:p w:rsidR="0077673A" w:rsidRPr="0077673A" w:rsidRDefault="0077673A" w:rsidP="0077673A">
      <w:pPr>
        <w:jc w:val="center"/>
        <w:outlineLvl w:val="0"/>
        <w:rPr>
          <w:rFonts w:ascii="Verdana" w:hAnsi="Verdana" w:cs="Arial"/>
          <w:sz w:val="20"/>
          <w:szCs w:val="20"/>
        </w:rPr>
      </w:pPr>
      <w:r w:rsidRPr="0077673A">
        <w:rPr>
          <w:rFonts w:ascii="Verdana" w:hAnsi="Verdana" w:cs="Arial"/>
          <w:sz w:val="20"/>
          <w:szCs w:val="20"/>
        </w:rPr>
        <w:t>México, Distrito Federal a 22 de septiembre de 2011</w:t>
      </w:r>
    </w:p>
    <w:p w:rsidR="0077673A" w:rsidRPr="0077673A" w:rsidRDefault="0077673A" w:rsidP="0077673A">
      <w:pPr>
        <w:jc w:val="center"/>
        <w:outlineLvl w:val="0"/>
        <w:rPr>
          <w:rFonts w:ascii="Verdana" w:hAnsi="Verdana" w:cs="Arial"/>
          <w:sz w:val="20"/>
          <w:szCs w:val="20"/>
        </w:rPr>
      </w:pPr>
      <w:r w:rsidRPr="0077673A">
        <w:rPr>
          <w:rFonts w:ascii="Verdana" w:hAnsi="Verdana" w:cs="Arial"/>
          <w:sz w:val="20"/>
          <w:szCs w:val="20"/>
        </w:rPr>
        <w:t>Secretario del Consejo Directivo</w:t>
      </w:r>
    </w:p>
    <w:p w:rsidR="0077673A" w:rsidRPr="0077673A" w:rsidRDefault="0077673A" w:rsidP="0077673A">
      <w:pPr>
        <w:jc w:val="center"/>
        <w:rPr>
          <w:rFonts w:ascii="Verdana" w:hAnsi="Verdana"/>
          <w:sz w:val="20"/>
          <w:szCs w:val="20"/>
        </w:rPr>
      </w:pPr>
      <w:r w:rsidRPr="0077673A">
        <w:rPr>
          <w:rFonts w:ascii="Verdana" w:hAnsi="Verdana" w:cs="Arial"/>
          <w:b/>
          <w:sz w:val="20"/>
          <w:szCs w:val="20"/>
        </w:rPr>
        <w:t xml:space="preserve">Lic. Sergio Eduardo </w:t>
      </w:r>
      <w:proofErr w:type="spellStart"/>
      <w:r w:rsidRPr="0077673A">
        <w:rPr>
          <w:rFonts w:ascii="Verdana" w:hAnsi="Verdana" w:cs="Arial"/>
          <w:b/>
          <w:sz w:val="20"/>
          <w:szCs w:val="20"/>
        </w:rPr>
        <w:t>Huacuja</w:t>
      </w:r>
      <w:proofErr w:type="spellEnd"/>
      <w:r w:rsidRPr="0077673A">
        <w:rPr>
          <w:rFonts w:ascii="Verdana" w:hAnsi="Verdana" w:cs="Arial"/>
          <w:b/>
          <w:sz w:val="20"/>
          <w:szCs w:val="20"/>
        </w:rPr>
        <w:t xml:space="preserve"> Betancourt</w:t>
      </w:r>
    </w:p>
    <w:sectPr w:rsidR="0077673A" w:rsidRPr="0077673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73A"/>
    <w:rsid w:val="001A4962"/>
    <w:rsid w:val="0077673A"/>
    <w:rsid w:val="0086768A"/>
    <w:rsid w:val="0090136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77673A"/>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 w:type="character" w:styleId="Textoennegrita">
    <w:name w:val="Strong"/>
    <w:basedOn w:val="Fuentedeprrafopredeter"/>
    <w:uiPriority w:val="22"/>
    <w:qFormat/>
    <w:rsid w:val="0077673A"/>
    <w:rPr>
      <w:b/>
      <w:bCs/>
    </w:rPr>
  </w:style>
  <w:style w:type="character" w:styleId="Hipervnculo">
    <w:name w:val="Hyperlink"/>
    <w:basedOn w:val="Fuentedeprrafopredeter"/>
    <w:uiPriority w:val="99"/>
    <w:semiHidden/>
    <w:unhideWhenUsed/>
    <w:rsid w:val="0077673A"/>
    <w:rPr>
      <w:color w:val="006666"/>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77673A"/>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 w:type="character" w:styleId="Textoennegrita">
    <w:name w:val="Strong"/>
    <w:basedOn w:val="Fuentedeprrafopredeter"/>
    <w:uiPriority w:val="22"/>
    <w:qFormat/>
    <w:rsid w:val="0077673A"/>
    <w:rPr>
      <w:b/>
      <w:bCs/>
    </w:rPr>
  </w:style>
  <w:style w:type="character" w:styleId="Hipervnculo">
    <w:name w:val="Hyperlink"/>
    <w:basedOn w:val="Fuentedeprrafopredeter"/>
    <w:uiPriority w:val="99"/>
    <w:semiHidden/>
    <w:unhideWhenUsed/>
    <w:rsid w:val="0077673A"/>
    <w:rPr>
      <w:color w:val="00666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4847489">
      <w:bodyDiv w:val="1"/>
      <w:marLeft w:val="0"/>
      <w:marRight w:val="0"/>
      <w:marTop w:val="0"/>
      <w:marBottom w:val="0"/>
      <w:divBdr>
        <w:top w:val="none" w:sz="0" w:space="0" w:color="auto"/>
        <w:left w:val="none" w:sz="0" w:space="0" w:color="auto"/>
        <w:bottom w:val="none" w:sz="0" w:space="0" w:color="auto"/>
        <w:right w:val="none" w:sz="0" w:space="0" w:color="auto"/>
      </w:divBdr>
    </w:div>
    <w:div w:id="1091387503">
      <w:bodyDiv w:val="1"/>
      <w:marLeft w:val="0"/>
      <w:marRight w:val="0"/>
      <w:marTop w:val="0"/>
      <w:marBottom w:val="0"/>
      <w:divBdr>
        <w:top w:val="none" w:sz="0" w:space="0" w:color="auto"/>
        <w:left w:val="none" w:sz="0" w:space="0" w:color="auto"/>
        <w:bottom w:val="none" w:sz="0" w:space="0" w:color="auto"/>
        <w:right w:val="none" w:sz="0" w:space="0" w:color="auto"/>
      </w:divBdr>
      <w:divsChild>
        <w:div w:id="259414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200.57.138.116/transparencia/MarcoNormativoPAP/rchispazo-m.htm" TargetMode="External"/><Relationship Id="rId3" Type="http://schemas.openxmlformats.org/officeDocument/2006/relationships/settings" Target="settings.xml"/><Relationship Id="rId7" Type="http://schemas.openxmlformats.org/officeDocument/2006/relationships/hyperlink" Target="http://200.57.138.116/transparencia/MarcoNormativoPAP/rchispazo-m.ht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200.57.138.116/transparencia/MarcoNormativoPAP/rchispazo-m.htm" TargetMode="External"/><Relationship Id="rId5" Type="http://schemas.openxmlformats.org/officeDocument/2006/relationships/hyperlink" Target="http://200.57.138.116/transparencia/MarcoNormativoPAP/rchispazo-m.ht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10</Pages>
  <Words>3235</Words>
  <Characters>17798</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Retana Perez</dc:creator>
  <cp:lastModifiedBy>Jonathan Retana Perez</cp:lastModifiedBy>
  <cp:revision>1</cp:revision>
  <dcterms:created xsi:type="dcterms:W3CDTF">2011-09-30T19:26:00Z</dcterms:created>
  <dcterms:modified xsi:type="dcterms:W3CDTF">2011-09-30T19:47:00Z</dcterms:modified>
</cp:coreProperties>
</file>