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B09" w:rsidRDefault="00CE243E">
      <w:pPr>
        <w:widowControl w:val="0"/>
        <w:autoSpaceDE w:val="0"/>
        <w:autoSpaceDN w:val="0"/>
        <w:adjustRightInd w:val="0"/>
        <w:spacing w:before="4" w:after="0" w:line="140" w:lineRule="exact"/>
        <w:rPr>
          <w:rFonts w:ascii="Times New Roman" w:hAnsi="Times New Roman"/>
          <w:sz w:val="14"/>
          <w:szCs w:val="14"/>
        </w:rPr>
      </w:pPr>
      <w:r>
        <w:rPr>
          <w:noProof/>
        </w:rPr>
        <w:pict>
          <v:group id="_x0000_s1026" style="position:absolute;margin-left:0;margin-top:.1pt;width:611.15pt;height:791.9pt;z-index:-5;mso-position-horizontal-relative:page;mso-position-vertical-relative:page" coordorigin=",2" coordsize="12223,15838" o:allowincell="f">
            <v:rect id="_x0000_s1027" style="position:absolute;top:-7;width:12220;height:15840;mso-position-horizontal-relative:page;mso-position-vertical-relative:page" o:allowincell="f" filled="f" stroked="f">
              <v:textbox inset="0,0,0,0">
                <w:txbxContent>
                  <w:p w:rsidR="00AF7B09" w:rsidRDefault="00CE243E">
                    <w:pPr>
                      <w:spacing w:after="0" w:line="15840" w:lineRule="atLeast"/>
                      <w:rPr>
                        <w:rFonts w:ascii="Times New Roman" w:hAnsi="Times New Roman"/>
                        <w:sz w:val="24"/>
                        <w:szCs w:val="24"/>
                      </w:rPr>
                    </w:pPr>
                    <w:r>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10.95pt;height:11in">
                          <v:imagedata r:id="rId7" o:title=""/>
                        </v:shape>
                      </w:pict>
                    </w:r>
                  </w:p>
                  <w:p w:rsidR="00AF7B09" w:rsidRDefault="00AF7B09">
                    <w:pPr>
                      <w:widowControl w:val="0"/>
                      <w:autoSpaceDE w:val="0"/>
                      <w:autoSpaceDN w:val="0"/>
                      <w:adjustRightInd w:val="0"/>
                      <w:spacing w:after="0" w:line="240" w:lineRule="auto"/>
                      <w:rPr>
                        <w:rFonts w:ascii="Times New Roman" w:hAnsi="Times New Roman"/>
                        <w:sz w:val="24"/>
                        <w:szCs w:val="24"/>
                      </w:rPr>
                    </w:pPr>
                  </w:p>
                </w:txbxContent>
              </v:textbox>
            </v:rect>
            <v:rect id="_x0000_s1028" style="position:absolute;left:1139;top:3549;width:9943;height:3580" o:allowincell="f" stroked="f">
              <v:path arrowok="t"/>
            </v:rect>
            <w10:wrap anchorx="page" anchory="page"/>
          </v:group>
        </w:pict>
      </w: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F50275">
      <w:pPr>
        <w:widowControl w:val="0"/>
        <w:autoSpaceDE w:val="0"/>
        <w:autoSpaceDN w:val="0"/>
        <w:adjustRightInd w:val="0"/>
        <w:spacing w:before="7" w:after="0" w:line="552" w:lineRule="exact"/>
        <w:ind w:left="77" w:right="75" w:hanging="11"/>
        <w:jc w:val="center"/>
        <w:rPr>
          <w:rFonts w:ascii="Arial" w:hAnsi="Arial" w:cs="Arial"/>
          <w:sz w:val="48"/>
          <w:szCs w:val="48"/>
        </w:rPr>
      </w:pPr>
      <w:r>
        <w:rPr>
          <w:rFonts w:ascii="Arial" w:hAnsi="Arial" w:cs="Arial"/>
          <w:b/>
          <w:bCs/>
          <w:w w:val="99"/>
          <w:sz w:val="48"/>
          <w:szCs w:val="48"/>
        </w:rPr>
        <w:t>Reglamento</w:t>
      </w:r>
      <w:r>
        <w:rPr>
          <w:rFonts w:ascii="Arial" w:hAnsi="Arial" w:cs="Arial"/>
          <w:b/>
          <w:bCs/>
          <w:sz w:val="48"/>
          <w:szCs w:val="48"/>
        </w:rPr>
        <w:t xml:space="preserve"> </w:t>
      </w:r>
      <w:r>
        <w:rPr>
          <w:rFonts w:ascii="Arial" w:hAnsi="Arial" w:cs="Arial"/>
          <w:b/>
          <w:bCs/>
          <w:w w:val="99"/>
          <w:sz w:val="48"/>
          <w:szCs w:val="48"/>
        </w:rPr>
        <w:t>de</w:t>
      </w:r>
      <w:r>
        <w:rPr>
          <w:rFonts w:ascii="Arial" w:hAnsi="Arial" w:cs="Arial"/>
          <w:b/>
          <w:bCs/>
          <w:sz w:val="48"/>
          <w:szCs w:val="48"/>
        </w:rPr>
        <w:t xml:space="preserve"> </w:t>
      </w:r>
      <w:r>
        <w:rPr>
          <w:rFonts w:ascii="Arial" w:hAnsi="Arial" w:cs="Arial"/>
          <w:b/>
          <w:bCs/>
          <w:w w:val="99"/>
          <w:sz w:val="48"/>
          <w:szCs w:val="48"/>
        </w:rPr>
        <w:t>la</w:t>
      </w:r>
      <w:r>
        <w:rPr>
          <w:rFonts w:ascii="Arial" w:hAnsi="Arial" w:cs="Arial"/>
          <w:b/>
          <w:bCs/>
          <w:sz w:val="48"/>
          <w:szCs w:val="48"/>
        </w:rPr>
        <w:t xml:space="preserve"> </w:t>
      </w:r>
      <w:r>
        <w:rPr>
          <w:rFonts w:ascii="Arial" w:hAnsi="Arial" w:cs="Arial"/>
          <w:b/>
          <w:bCs/>
          <w:w w:val="99"/>
          <w:sz w:val="48"/>
          <w:szCs w:val="48"/>
        </w:rPr>
        <w:t>Comisión</w:t>
      </w:r>
      <w:r>
        <w:rPr>
          <w:rFonts w:ascii="Arial" w:hAnsi="Arial" w:cs="Arial"/>
          <w:b/>
          <w:bCs/>
          <w:sz w:val="48"/>
          <w:szCs w:val="48"/>
        </w:rPr>
        <w:t xml:space="preserve"> </w:t>
      </w:r>
      <w:r>
        <w:rPr>
          <w:rFonts w:ascii="Arial" w:hAnsi="Arial" w:cs="Arial"/>
          <w:b/>
          <w:bCs/>
          <w:w w:val="99"/>
          <w:sz w:val="48"/>
          <w:szCs w:val="48"/>
        </w:rPr>
        <w:t>Nacional</w:t>
      </w:r>
      <w:r>
        <w:rPr>
          <w:rFonts w:ascii="Arial" w:hAnsi="Arial" w:cs="Arial"/>
          <w:b/>
          <w:bCs/>
          <w:sz w:val="48"/>
          <w:szCs w:val="48"/>
        </w:rPr>
        <w:t xml:space="preserve"> </w:t>
      </w:r>
      <w:r>
        <w:rPr>
          <w:rFonts w:ascii="Arial" w:hAnsi="Arial" w:cs="Arial"/>
          <w:b/>
          <w:bCs/>
          <w:w w:val="99"/>
          <w:sz w:val="48"/>
          <w:szCs w:val="48"/>
        </w:rPr>
        <w:t>de Auxilios</w:t>
      </w:r>
      <w:r>
        <w:rPr>
          <w:rFonts w:ascii="Arial" w:hAnsi="Arial" w:cs="Arial"/>
          <w:b/>
          <w:bCs/>
          <w:sz w:val="48"/>
          <w:szCs w:val="48"/>
        </w:rPr>
        <w:t xml:space="preserve"> </w:t>
      </w:r>
      <w:r>
        <w:rPr>
          <w:rFonts w:ascii="Arial" w:hAnsi="Arial" w:cs="Arial"/>
          <w:b/>
          <w:bCs/>
          <w:w w:val="99"/>
          <w:sz w:val="48"/>
          <w:szCs w:val="48"/>
        </w:rPr>
        <w:t>de</w:t>
      </w:r>
      <w:r>
        <w:rPr>
          <w:rFonts w:ascii="Arial" w:hAnsi="Arial" w:cs="Arial"/>
          <w:b/>
          <w:bCs/>
          <w:sz w:val="48"/>
          <w:szCs w:val="48"/>
        </w:rPr>
        <w:t xml:space="preserve"> </w:t>
      </w:r>
      <w:r>
        <w:rPr>
          <w:rFonts w:ascii="Arial" w:hAnsi="Arial" w:cs="Arial"/>
          <w:b/>
          <w:bCs/>
          <w:w w:val="99"/>
          <w:sz w:val="48"/>
          <w:szCs w:val="48"/>
        </w:rPr>
        <w:t>los</w:t>
      </w:r>
      <w:r>
        <w:rPr>
          <w:rFonts w:ascii="Arial" w:hAnsi="Arial" w:cs="Arial"/>
          <w:b/>
          <w:bCs/>
          <w:sz w:val="48"/>
          <w:szCs w:val="48"/>
        </w:rPr>
        <w:t xml:space="preserve"> </w:t>
      </w:r>
      <w:r>
        <w:rPr>
          <w:rFonts w:ascii="Arial" w:hAnsi="Arial" w:cs="Arial"/>
          <w:b/>
          <w:bCs/>
          <w:w w:val="99"/>
          <w:sz w:val="48"/>
          <w:szCs w:val="48"/>
        </w:rPr>
        <w:t>Trabajadores</w:t>
      </w:r>
      <w:r>
        <w:rPr>
          <w:rFonts w:ascii="Arial" w:hAnsi="Arial" w:cs="Arial"/>
          <w:b/>
          <w:bCs/>
          <w:sz w:val="48"/>
          <w:szCs w:val="48"/>
        </w:rPr>
        <w:t xml:space="preserve"> </w:t>
      </w:r>
      <w:r>
        <w:rPr>
          <w:rFonts w:ascii="Arial" w:hAnsi="Arial" w:cs="Arial"/>
          <w:b/>
          <w:bCs/>
          <w:w w:val="99"/>
          <w:sz w:val="48"/>
          <w:szCs w:val="48"/>
        </w:rPr>
        <w:t>del</w:t>
      </w:r>
      <w:r>
        <w:rPr>
          <w:rFonts w:ascii="Arial" w:hAnsi="Arial" w:cs="Arial"/>
          <w:b/>
          <w:bCs/>
          <w:sz w:val="48"/>
          <w:szCs w:val="48"/>
        </w:rPr>
        <w:t xml:space="preserve"> </w:t>
      </w:r>
      <w:r>
        <w:rPr>
          <w:rFonts w:ascii="Arial" w:hAnsi="Arial" w:cs="Arial"/>
          <w:b/>
          <w:bCs/>
          <w:w w:val="99"/>
          <w:sz w:val="48"/>
          <w:szCs w:val="48"/>
        </w:rPr>
        <w:t>Instituto de</w:t>
      </w:r>
      <w:r>
        <w:rPr>
          <w:rFonts w:ascii="Arial" w:hAnsi="Arial" w:cs="Arial"/>
          <w:b/>
          <w:bCs/>
          <w:sz w:val="48"/>
          <w:szCs w:val="48"/>
        </w:rPr>
        <w:t xml:space="preserve"> </w:t>
      </w:r>
      <w:r>
        <w:rPr>
          <w:rFonts w:ascii="Arial" w:hAnsi="Arial" w:cs="Arial"/>
          <w:b/>
          <w:bCs/>
          <w:w w:val="99"/>
          <w:sz w:val="48"/>
          <w:szCs w:val="48"/>
        </w:rPr>
        <w:t>Seguridad</w:t>
      </w:r>
      <w:r>
        <w:rPr>
          <w:rFonts w:ascii="Arial" w:hAnsi="Arial" w:cs="Arial"/>
          <w:b/>
          <w:bCs/>
          <w:sz w:val="48"/>
          <w:szCs w:val="48"/>
        </w:rPr>
        <w:t xml:space="preserve"> </w:t>
      </w:r>
      <w:r>
        <w:rPr>
          <w:rFonts w:ascii="Arial" w:hAnsi="Arial" w:cs="Arial"/>
          <w:b/>
          <w:bCs/>
          <w:w w:val="99"/>
          <w:sz w:val="48"/>
          <w:szCs w:val="48"/>
        </w:rPr>
        <w:t>y</w:t>
      </w:r>
      <w:r>
        <w:rPr>
          <w:rFonts w:ascii="Arial" w:hAnsi="Arial" w:cs="Arial"/>
          <w:b/>
          <w:bCs/>
          <w:sz w:val="48"/>
          <w:szCs w:val="48"/>
        </w:rPr>
        <w:t xml:space="preserve"> </w:t>
      </w:r>
      <w:r>
        <w:rPr>
          <w:rFonts w:ascii="Arial" w:hAnsi="Arial" w:cs="Arial"/>
          <w:b/>
          <w:bCs/>
          <w:w w:val="99"/>
          <w:sz w:val="48"/>
          <w:szCs w:val="48"/>
        </w:rPr>
        <w:t>Servicios</w:t>
      </w:r>
      <w:r>
        <w:rPr>
          <w:rFonts w:ascii="Arial" w:hAnsi="Arial" w:cs="Arial"/>
          <w:b/>
          <w:bCs/>
          <w:sz w:val="48"/>
          <w:szCs w:val="48"/>
        </w:rPr>
        <w:t xml:space="preserve"> </w:t>
      </w:r>
      <w:r>
        <w:rPr>
          <w:rFonts w:ascii="Arial" w:hAnsi="Arial" w:cs="Arial"/>
          <w:b/>
          <w:bCs/>
          <w:w w:val="99"/>
          <w:sz w:val="48"/>
          <w:szCs w:val="48"/>
        </w:rPr>
        <w:t>Sociales</w:t>
      </w:r>
      <w:r>
        <w:rPr>
          <w:rFonts w:ascii="Arial" w:hAnsi="Arial" w:cs="Arial"/>
          <w:b/>
          <w:bCs/>
          <w:sz w:val="48"/>
          <w:szCs w:val="48"/>
        </w:rPr>
        <w:t xml:space="preserve"> </w:t>
      </w:r>
      <w:r>
        <w:rPr>
          <w:rFonts w:ascii="Arial" w:hAnsi="Arial" w:cs="Arial"/>
          <w:b/>
          <w:bCs/>
          <w:w w:val="99"/>
          <w:sz w:val="48"/>
          <w:szCs w:val="48"/>
        </w:rPr>
        <w:t>de</w:t>
      </w:r>
      <w:r>
        <w:rPr>
          <w:rFonts w:ascii="Arial" w:hAnsi="Arial" w:cs="Arial"/>
          <w:b/>
          <w:bCs/>
          <w:sz w:val="48"/>
          <w:szCs w:val="48"/>
        </w:rPr>
        <w:t xml:space="preserve"> </w:t>
      </w:r>
      <w:r>
        <w:rPr>
          <w:rFonts w:ascii="Arial" w:hAnsi="Arial" w:cs="Arial"/>
          <w:b/>
          <w:bCs/>
          <w:w w:val="99"/>
          <w:sz w:val="48"/>
          <w:szCs w:val="48"/>
        </w:rPr>
        <w:t>los Trabajadores</w:t>
      </w:r>
      <w:r>
        <w:rPr>
          <w:rFonts w:ascii="Arial" w:hAnsi="Arial" w:cs="Arial"/>
          <w:b/>
          <w:bCs/>
          <w:sz w:val="48"/>
          <w:szCs w:val="48"/>
        </w:rPr>
        <w:t xml:space="preserve"> </w:t>
      </w:r>
      <w:r>
        <w:rPr>
          <w:rFonts w:ascii="Arial" w:hAnsi="Arial" w:cs="Arial"/>
          <w:b/>
          <w:bCs/>
          <w:w w:val="99"/>
          <w:sz w:val="48"/>
          <w:szCs w:val="48"/>
        </w:rPr>
        <w:t>del</w:t>
      </w:r>
      <w:r>
        <w:rPr>
          <w:rFonts w:ascii="Arial" w:hAnsi="Arial" w:cs="Arial"/>
          <w:b/>
          <w:bCs/>
          <w:sz w:val="48"/>
          <w:szCs w:val="48"/>
        </w:rPr>
        <w:t xml:space="preserve"> </w:t>
      </w:r>
      <w:r>
        <w:rPr>
          <w:rFonts w:ascii="Arial" w:hAnsi="Arial" w:cs="Arial"/>
          <w:b/>
          <w:bCs/>
          <w:w w:val="99"/>
          <w:sz w:val="48"/>
          <w:szCs w:val="48"/>
        </w:rPr>
        <w:t>Estado</w:t>
      </w:r>
    </w:p>
    <w:p w:rsidR="00AF7B09" w:rsidRDefault="00AF7B09">
      <w:pPr>
        <w:widowControl w:val="0"/>
        <w:autoSpaceDE w:val="0"/>
        <w:autoSpaceDN w:val="0"/>
        <w:adjustRightInd w:val="0"/>
        <w:spacing w:before="7" w:after="0" w:line="552" w:lineRule="exact"/>
        <w:ind w:left="77" w:right="75" w:hanging="11"/>
        <w:jc w:val="center"/>
        <w:rPr>
          <w:rFonts w:ascii="Arial" w:hAnsi="Arial" w:cs="Arial"/>
          <w:sz w:val="48"/>
          <w:szCs w:val="48"/>
        </w:rPr>
        <w:sectPr w:rsidR="00AF7B09">
          <w:pgSz w:w="12240" w:h="15840"/>
          <w:pgMar w:top="1480" w:right="1320" w:bottom="280" w:left="1300" w:header="720" w:footer="720" w:gutter="0"/>
          <w:cols w:space="720"/>
          <w:noEndnote/>
        </w:sectPr>
      </w:pPr>
    </w:p>
    <w:p w:rsidR="00AF7B09" w:rsidRDefault="00CE243E">
      <w:pPr>
        <w:widowControl w:val="0"/>
        <w:autoSpaceDE w:val="0"/>
        <w:autoSpaceDN w:val="0"/>
        <w:adjustRightInd w:val="0"/>
        <w:spacing w:before="2" w:after="0" w:line="110" w:lineRule="exact"/>
        <w:rPr>
          <w:rFonts w:ascii="Arial" w:hAnsi="Arial" w:cs="Arial"/>
          <w:sz w:val="11"/>
          <w:szCs w:val="11"/>
        </w:rPr>
      </w:pPr>
      <w:r>
        <w:rPr>
          <w:noProof/>
        </w:rPr>
        <w:lastRenderedPageBreak/>
        <w:pict>
          <v:group id="_x0000_s1029" style="position:absolute;margin-left:0;margin-top:.1pt;width:611.15pt;height:791.9pt;z-index:-4;mso-position-horizontal-relative:page;mso-position-vertical-relative:page" coordorigin=",2" coordsize="12223,15838" o:allowincell="f">
            <v:rect id="_x0000_s1030" style="position:absolute;top:-7;width:12220;height:15860;mso-position-horizontal-relative:page;mso-position-vertical-relative:page" o:allowincell="f" filled="f" stroked="f">
              <v:textbox inset="0,0,0,0">
                <w:txbxContent>
                  <w:p w:rsidR="00AF7B09" w:rsidRDefault="00CE243E">
                    <w:pPr>
                      <w:spacing w:after="0" w:line="15860" w:lineRule="atLeast"/>
                      <w:rPr>
                        <w:rFonts w:ascii="Times New Roman" w:hAnsi="Times New Roman"/>
                        <w:sz w:val="24"/>
                        <w:szCs w:val="24"/>
                      </w:rPr>
                    </w:pPr>
                    <w:r>
                      <w:rPr>
                        <w:rFonts w:ascii="Times New Roman" w:hAnsi="Times New Roman"/>
                        <w:sz w:val="24"/>
                        <w:szCs w:val="24"/>
                      </w:rPr>
                      <w:pict>
                        <v:shape id="_x0000_i1030" type="#_x0000_t75" style="width:610.95pt;height:793.05pt">
                          <v:imagedata r:id="rId8" o:title=""/>
                        </v:shape>
                      </w:pict>
                    </w:r>
                  </w:p>
                  <w:p w:rsidR="00AF7B09" w:rsidRDefault="00AF7B09">
                    <w:pPr>
                      <w:widowControl w:val="0"/>
                      <w:autoSpaceDE w:val="0"/>
                      <w:autoSpaceDN w:val="0"/>
                      <w:adjustRightInd w:val="0"/>
                      <w:spacing w:after="0" w:line="240" w:lineRule="auto"/>
                      <w:rPr>
                        <w:rFonts w:ascii="Times New Roman" w:hAnsi="Times New Roman"/>
                        <w:sz w:val="24"/>
                        <w:szCs w:val="24"/>
                      </w:rPr>
                    </w:pPr>
                  </w:p>
                </w:txbxContent>
              </v:textbox>
            </v:rect>
            <v:rect id="_x0000_s1031" style="position:absolute;left:1591;top:2731;width:9038;height:4257" o:allowincell="f" stroked="f">
              <v:path arrowok="t"/>
            </v:rect>
            <w10:wrap anchorx="page" anchory="page"/>
          </v:group>
        </w:pict>
      </w: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AF7B09">
      <w:pPr>
        <w:widowControl w:val="0"/>
        <w:autoSpaceDE w:val="0"/>
        <w:autoSpaceDN w:val="0"/>
        <w:adjustRightInd w:val="0"/>
        <w:spacing w:after="0" w:line="200" w:lineRule="exact"/>
        <w:rPr>
          <w:rFonts w:ascii="Arial" w:hAnsi="Arial" w:cs="Arial"/>
          <w:sz w:val="20"/>
          <w:szCs w:val="20"/>
        </w:rPr>
      </w:pPr>
    </w:p>
    <w:p w:rsidR="00AF7B09" w:rsidRDefault="00F50275">
      <w:pPr>
        <w:widowControl w:val="0"/>
        <w:autoSpaceDE w:val="0"/>
        <w:autoSpaceDN w:val="0"/>
        <w:adjustRightInd w:val="0"/>
        <w:spacing w:before="13" w:after="0" w:line="240" w:lineRule="auto"/>
        <w:ind w:left="2981" w:right="3002"/>
        <w:jc w:val="center"/>
        <w:rPr>
          <w:rFonts w:ascii="Times New Roman" w:hAnsi="Times New Roman"/>
          <w:color w:val="000000"/>
          <w:sz w:val="36"/>
          <w:szCs w:val="36"/>
        </w:rPr>
      </w:pPr>
      <w:r>
        <w:rPr>
          <w:rFonts w:ascii="Times New Roman" w:hAnsi="Times New Roman"/>
          <w:b/>
          <w:bCs/>
          <w:color w:val="808080"/>
          <w:w w:val="99"/>
          <w:sz w:val="36"/>
          <w:szCs w:val="36"/>
        </w:rPr>
        <w:t>FICHA</w:t>
      </w:r>
      <w:r>
        <w:rPr>
          <w:rFonts w:ascii="Times New Roman" w:hAnsi="Times New Roman"/>
          <w:b/>
          <w:bCs/>
          <w:color w:val="808080"/>
          <w:sz w:val="36"/>
          <w:szCs w:val="36"/>
        </w:rPr>
        <w:t xml:space="preserve"> </w:t>
      </w:r>
      <w:r>
        <w:rPr>
          <w:rFonts w:ascii="Times New Roman" w:hAnsi="Times New Roman"/>
          <w:b/>
          <w:bCs/>
          <w:color w:val="808080"/>
          <w:w w:val="99"/>
          <w:sz w:val="36"/>
          <w:szCs w:val="36"/>
        </w:rPr>
        <w:t>TÉCNICA</w:t>
      </w:r>
    </w:p>
    <w:p w:rsidR="00AF7B09" w:rsidRDefault="00AF7B09">
      <w:pPr>
        <w:widowControl w:val="0"/>
        <w:autoSpaceDE w:val="0"/>
        <w:autoSpaceDN w:val="0"/>
        <w:adjustRightInd w:val="0"/>
        <w:spacing w:before="12" w:after="0" w:line="240" w:lineRule="exact"/>
        <w:rPr>
          <w:rFonts w:ascii="Times New Roman" w:hAnsi="Times New Roman"/>
          <w:color w:val="000000"/>
          <w:sz w:val="24"/>
          <w:szCs w:val="24"/>
        </w:rPr>
      </w:pPr>
    </w:p>
    <w:p w:rsidR="00AF7B09" w:rsidRDefault="00F50275">
      <w:pPr>
        <w:widowControl w:val="0"/>
        <w:autoSpaceDE w:val="0"/>
        <w:autoSpaceDN w:val="0"/>
        <w:adjustRightInd w:val="0"/>
        <w:spacing w:after="0" w:line="240" w:lineRule="auto"/>
        <w:ind w:left="100" w:right="75"/>
        <w:jc w:val="both"/>
        <w:rPr>
          <w:rFonts w:ascii="Times New Roman" w:hAnsi="Times New Roman"/>
          <w:color w:val="000000"/>
        </w:rPr>
      </w:pPr>
      <w:r>
        <w:rPr>
          <w:rFonts w:ascii="Times New Roman" w:hAnsi="Times New Roman"/>
          <w:b/>
          <w:bCs/>
          <w:color w:val="808080"/>
        </w:rPr>
        <w:t>REGLAMENTO     DE     LA     COMISIÓN     NACIONAL     DE     AUXILIOS     DE     LOS TRABAJADORES  DEL  INSTITUTO  DE  SEGURIDAD  Y  SERVICIOS  SOCIALES  DE LOS TRABAJADORES DEL ESTADO</w:t>
      </w:r>
    </w:p>
    <w:p w:rsidR="00AF7B09" w:rsidRDefault="00AF7B09">
      <w:pPr>
        <w:widowControl w:val="0"/>
        <w:autoSpaceDE w:val="0"/>
        <w:autoSpaceDN w:val="0"/>
        <w:adjustRightInd w:val="0"/>
        <w:spacing w:before="8" w:after="0" w:line="240" w:lineRule="exact"/>
        <w:rPr>
          <w:rFonts w:ascii="Times New Roman" w:hAnsi="Times New Roman"/>
          <w:color w:val="000000"/>
          <w:sz w:val="24"/>
          <w:szCs w:val="24"/>
        </w:rPr>
      </w:pPr>
    </w:p>
    <w:p w:rsidR="00AF7B09" w:rsidRDefault="00F50275">
      <w:pPr>
        <w:widowControl w:val="0"/>
        <w:autoSpaceDE w:val="0"/>
        <w:autoSpaceDN w:val="0"/>
        <w:adjustRightInd w:val="0"/>
        <w:spacing w:after="0" w:line="240" w:lineRule="auto"/>
        <w:ind w:left="100" w:right="4652"/>
        <w:jc w:val="both"/>
        <w:rPr>
          <w:rFonts w:ascii="Times New Roman" w:hAnsi="Times New Roman"/>
          <w:color w:val="000000"/>
        </w:rPr>
      </w:pPr>
      <w:r>
        <w:rPr>
          <w:rFonts w:ascii="Times New Roman" w:hAnsi="Times New Roman"/>
          <w:b/>
          <w:bCs/>
          <w:i/>
          <w:iCs/>
          <w:color w:val="808080"/>
        </w:rPr>
        <w:t xml:space="preserve">Fecha de expedición: </w:t>
      </w:r>
      <w:r>
        <w:rPr>
          <w:rFonts w:ascii="Times New Roman" w:hAnsi="Times New Roman"/>
          <w:i/>
          <w:iCs/>
          <w:color w:val="808080"/>
        </w:rPr>
        <w:t>13 de diciembre de 2001</w:t>
      </w:r>
    </w:p>
    <w:p w:rsidR="00AF7B09" w:rsidRDefault="00F50275">
      <w:pPr>
        <w:widowControl w:val="0"/>
        <w:autoSpaceDE w:val="0"/>
        <w:autoSpaceDN w:val="0"/>
        <w:adjustRightInd w:val="0"/>
        <w:spacing w:before="1" w:after="0" w:line="240" w:lineRule="auto"/>
        <w:ind w:left="100" w:right="548"/>
        <w:jc w:val="both"/>
        <w:rPr>
          <w:rFonts w:ascii="Times New Roman" w:hAnsi="Times New Roman"/>
          <w:color w:val="000000"/>
        </w:rPr>
      </w:pPr>
      <w:r>
        <w:rPr>
          <w:rFonts w:ascii="Times New Roman" w:hAnsi="Times New Roman"/>
          <w:b/>
          <w:bCs/>
          <w:i/>
          <w:iCs/>
          <w:color w:val="808080"/>
        </w:rPr>
        <w:t xml:space="preserve">Fecha de Publicación en la normateca Electrónica Institucional (NEI): </w:t>
      </w:r>
      <w:r>
        <w:rPr>
          <w:rFonts w:ascii="Times New Roman" w:hAnsi="Times New Roman"/>
          <w:i/>
          <w:iCs/>
          <w:color w:val="808080"/>
        </w:rPr>
        <w:t>13 de noviembre de</w:t>
      </w:r>
    </w:p>
    <w:p w:rsidR="00AF7B09" w:rsidRDefault="00F50275">
      <w:pPr>
        <w:widowControl w:val="0"/>
        <w:autoSpaceDE w:val="0"/>
        <w:autoSpaceDN w:val="0"/>
        <w:adjustRightInd w:val="0"/>
        <w:spacing w:before="44" w:after="0" w:line="240" w:lineRule="auto"/>
        <w:ind w:left="100" w:right="8386"/>
        <w:jc w:val="both"/>
        <w:rPr>
          <w:rFonts w:ascii="Times New Roman" w:hAnsi="Times New Roman"/>
          <w:color w:val="000000"/>
        </w:rPr>
      </w:pPr>
      <w:r>
        <w:rPr>
          <w:rFonts w:ascii="Times New Roman" w:hAnsi="Times New Roman"/>
          <w:i/>
          <w:iCs/>
          <w:color w:val="808080"/>
        </w:rPr>
        <w:t>2017</w:t>
      </w:r>
    </w:p>
    <w:p w:rsidR="00AF7B09" w:rsidRDefault="00AF7B09">
      <w:pPr>
        <w:widowControl w:val="0"/>
        <w:autoSpaceDE w:val="0"/>
        <w:autoSpaceDN w:val="0"/>
        <w:adjustRightInd w:val="0"/>
        <w:spacing w:before="44" w:after="0" w:line="240" w:lineRule="auto"/>
        <w:ind w:left="100" w:right="8386"/>
        <w:jc w:val="both"/>
        <w:rPr>
          <w:rFonts w:ascii="Times New Roman" w:hAnsi="Times New Roman"/>
          <w:color w:val="000000"/>
        </w:rPr>
        <w:sectPr w:rsidR="00AF7B09">
          <w:pgSz w:w="12240" w:h="15840"/>
          <w:pgMar w:top="1480" w:right="1640" w:bottom="280" w:left="1640" w:header="720" w:footer="720" w:gutter="0"/>
          <w:cols w:space="720" w:equalWidth="0">
            <w:col w:w="8960"/>
          </w:cols>
          <w:noEndnote/>
        </w:sectPr>
      </w:pPr>
    </w:p>
    <w:p w:rsidR="00AF7B09" w:rsidRDefault="00CE243E">
      <w:pPr>
        <w:widowControl w:val="0"/>
        <w:autoSpaceDE w:val="0"/>
        <w:autoSpaceDN w:val="0"/>
        <w:adjustRightInd w:val="0"/>
        <w:spacing w:after="0" w:line="200" w:lineRule="exact"/>
        <w:rPr>
          <w:rFonts w:ascii="Times New Roman" w:hAnsi="Times New Roman"/>
          <w:color w:val="000000"/>
          <w:sz w:val="20"/>
          <w:szCs w:val="20"/>
        </w:rPr>
      </w:pPr>
      <w:r>
        <w:rPr>
          <w:noProof/>
        </w:rPr>
        <w:lastRenderedPageBreak/>
        <w:pict>
          <v:rect id="_x0000_s1032" style="position:absolute;margin-left:2pt;margin-top:0;width:609pt;height:790pt;z-index:-2;mso-position-horizontal-relative:page;mso-position-vertical-relative:page" o:allowincell="f" filled="f" stroked="f">
            <v:textbox inset="0,0,0,0">
              <w:txbxContent>
                <w:p w:rsidR="00AF7B09" w:rsidRDefault="00CE243E">
                  <w:pPr>
                    <w:spacing w:after="0" w:line="15800" w:lineRule="atLeast"/>
                    <w:rPr>
                      <w:rFonts w:ascii="Times New Roman" w:hAnsi="Times New Roman"/>
                      <w:sz w:val="24"/>
                      <w:szCs w:val="24"/>
                    </w:rPr>
                  </w:pPr>
                  <w:r>
                    <w:rPr>
                      <w:rFonts w:ascii="Times New Roman" w:hAnsi="Times New Roman"/>
                      <w:sz w:val="24"/>
                      <w:szCs w:val="24"/>
                    </w:rPr>
                    <w:pict>
                      <v:shape id="_x0000_i1031" type="#_x0000_t75" style="width:604.6pt;height:783.55pt">
                        <v:imagedata r:id="rId9" o:title="1m"/>
                      </v:shape>
                    </w:pict>
                  </w:r>
                </w:p>
                <w:p w:rsidR="00AF7B09" w:rsidRDefault="00AF7B0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w:r>
      <w:r>
        <w:rPr>
          <w:noProof/>
        </w:rPr>
        <w:pict>
          <v:shapetype id="_x0000_t202" coordsize="21600,21600" o:spt="202" path="m,l,21600r21600,l21600,xe">
            <v:stroke joinstyle="miter"/>
            <v:path gradientshapeok="t" o:connecttype="rect"/>
          </v:shapetype>
          <v:shape id="_x0000_s1033" type="#_x0000_t202" style="position:absolute;margin-left:2pt;margin-top:0;width:608.95pt;height:790pt;z-index:-3;mso-position-horizontal-relative:page;mso-position-vertical-relative:page" o:allowincell="f" filled="f" stroked="f">
            <v:textbox inset="0,0,0,0">
              <w:txbxContent>
                <w:p w:rsidR="00AF7B09" w:rsidRDefault="00AF7B09">
                  <w:pPr>
                    <w:widowControl w:val="0"/>
                    <w:autoSpaceDE w:val="0"/>
                    <w:autoSpaceDN w:val="0"/>
                    <w:adjustRightInd w:val="0"/>
                    <w:spacing w:before="3" w:after="0" w:line="190" w:lineRule="exact"/>
                    <w:rPr>
                      <w:rFonts w:ascii="Times New Roman" w:hAnsi="Times New Roman"/>
                      <w:sz w:val="19"/>
                      <w:szCs w:val="19"/>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F50275">
                  <w:pPr>
                    <w:widowControl w:val="0"/>
                    <w:autoSpaceDE w:val="0"/>
                    <w:autoSpaceDN w:val="0"/>
                    <w:adjustRightInd w:val="0"/>
                    <w:spacing w:after="0" w:line="240" w:lineRule="auto"/>
                    <w:ind w:right="1677"/>
                    <w:jc w:val="right"/>
                    <w:rPr>
                      <w:rFonts w:cs="Calibri"/>
                    </w:rPr>
                  </w:pPr>
                  <w:r>
                    <w:rPr>
                      <w:rFonts w:cs="Calibri"/>
                    </w:rPr>
                    <w:t>0</w:t>
                  </w:r>
                </w:p>
              </w:txbxContent>
            </v:textbox>
            <w10:wrap anchorx="page" anchory="page"/>
          </v:shape>
        </w:pict>
      </w:r>
    </w:p>
    <w:p w:rsidR="00AF7B09" w:rsidRDefault="00AF7B09">
      <w:pPr>
        <w:widowControl w:val="0"/>
        <w:autoSpaceDE w:val="0"/>
        <w:autoSpaceDN w:val="0"/>
        <w:adjustRightInd w:val="0"/>
        <w:spacing w:after="0" w:line="200" w:lineRule="exact"/>
        <w:rPr>
          <w:rFonts w:ascii="Times New Roman" w:hAnsi="Times New Roman"/>
          <w:color w:val="000000"/>
          <w:sz w:val="20"/>
          <w:szCs w:val="20"/>
        </w:rPr>
        <w:sectPr w:rsidR="00AF7B09">
          <w:pgSz w:w="12240" w:h="15840"/>
          <w:pgMar w:top="1480" w:right="1720" w:bottom="280" w:left="1720" w:header="720" w:footer="720" w:gutter="0"/>
          <w:cols w:space="720" w:equalWidth="0">
            <w:col w:w="8800"/>
          </w:cols>
          <w:noEndnote/>
        </w:sectPr>
      </w:pPr>
    </w:p>
    <w:p w:rsidR="00AF7B09" w:rsidRDefault="004B281D">
      <w:pPr>
        <w:widowControl w:val="0"/>
        <w:autoSpaceDE w:val="0"/>
        <w:autoSpaceDN w:val="0"/>
        <w:adjustRightInd w:val="0"/>
        <w:spacing w:before="6" w:after="0" w:line="240" w:lineRule="auto"/>
        <w:rPr>
          <w:rFonts w:ascii="Times New Roman" w:hAnsi="Times New Roman"/>
          <w:color w:val="000000"/>
          <w:sz w:val="20"/>
          <w:szCs w:val="20"/>
        </w:rPr>
      </w:pPr>
      <w:r>
        <w:rPr>
          <w:rFonts w:ascii="Times New Roman" w:hAnsi="Times New Roman"/>
          <w:color w:val="000000"/>
          <w:sz w:val="20"/>
          <w:szCs w:val="20"/>
        </w:rPr>
        <w:lastRenderedPageBreak/>
        <w:pict>
          <v:shape id="_x0000_i1025" type="#_x0000_t75" style="width:606.7pt;height:789.9pt">
            <v:imagedata r:id="rId10" o:title="2m"/>
          </v:shape>
        </w:pict>
      </w:r>
    </w:p>
    <w:p w:rsidR="00AF7B09" w:rsidRDefault="00AF7B09">
      <w:pPr>
        <w:widowControl w:val="0"/>
        <w:autoSpaceDE w:val="0"/>
        <w:autoSpaceDN w:val="0"/>
        <w:adjustRightInd w:val="0"/>
        <w:spacing w:before="6" w:after="0" w:line="240" w:lineRule="auto"/>
        <w:rPr>
          <w:rFonts w:ascii="Times New Roman" w:hAnsi="Times New Roman"/>
          <w:color w:val="000000"/>
          <w:sz w:val="20"/>
          <w:szCs w:val="20"/>
        </w:rPr>
        <w:sectPr w:rsidR="00AF7B09">
          <w:pgSz w:w="12200" w:h="15880"/>
          <w:pgMar w:top="-20" w:right="0" w:bottom="0" w:left="0" w:header="720" w:footer="720" w:gutter="0"/>
          <w:cols w:space="720" w:equalWidth="0">
            <w:col w:w="12200"/>
          </w:cols>
          <w:noEndnote/>
        </w:sectPr>
      </w:pPr>
    </w:p>
    <w:p w:rsidR="00AF7B09" w:rsidRDefault="004B281D">
      <w:pPr>
        <w:widowControl w:val="0"/>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lastRenderedPageBreak/>
        <w:pict>
          <v:shape id="_x0000_i1026" type="#_x0000_t75" style="width:608.8pt;height:787.75pt">
            <v:imagedata r:id="rId11" o:title="3m"/>
          </v:shape>
        </w:pict>
      </w:r>
    </w:p>
    <w:p w:rsidR="00AF7B09" w:rsidRDefault="00AF7B09">
      <w:pPr>
        <w:widowControl w:val="0"/>
        <w:autoSpaceDE w:val="0"/>
        <w:autoSpaceDN w:val="0"/>
        <w:adjustRightInd w:val="0"/>
        <w:spacing w:after="0" w:line="240" w:lineRule="auto"/>
        <w:rPr>
          <w:rFonts w:ascii="Times New Roman" w:hAnsi="Times New Roman"/>
          <w:color w:val="000000"/>
          <w:sz w:val="20"/>
          <w:szCs w:val="20"/>
        </w:rPr>
        <w:sectPr w:rsidR="00AF7B09">
          <w:pgSz w:w="12180" w:h="15840"/>
          <w:pgMar w:top="0" w:right="0" w:bottom="0" w:left="0" w:header="720" w:footer="720" w:gutter="0"/>
          <w:cols w:space="720" w:equalWidth="0">
            <w:col w:w="12180"/>
          </w:cols>
          <w:noEndnote/>
        </w:sectPr>
      </w:pPr>
    </w:p>
    <w:p w:rsidR="00AF7B09" w:rsidRDefault="00F50275">
      <w:pPr>
        <w:widowControl w:val="0"/>
        <w:autoSpaceDE w:val="0"/>
        <w:autoSpaceDN w:val="0"/>
        <w:adjustRightInd w:val="0"/>
        <w:spacing w:before="40" w:after="0" w:line="481" w:lineRule="auto"/>
        <w:ind w:left="2833" w:right="2992" w:firstLine="140"/>
        <w:jc w:val="center"/>
        <w:rPr>
          <w:rFonts w:ascii="Century Gothic" w:hAnsi="Century Gothic" w:cs="Century Gothic"/>
          <w:color w:val="000000"/>
          <w:sz w:val="28"/>
          <w:szCs w:val="28"/>
        </w:rPr>
      </w:pPr>
      <w:r>
        <w:rPr>
          <w:rFonts w:ascii="Century Gothic" w:hAnsi="Century Gothic" w:cs="Century Gothic"/>
          <w:b/>
          <w:bCs/>
          <w:color w:val="000000"/>
          <w:sz w:val="28"/>
          <w:szCs w:val="28"/>
        </w:rPr>
        <w:lastRenderedPageBreak/>
        <w:t>CAPÍTULO I. Disposiciones Generales</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Artículo 1.- La Comisión Nacional de Auxilios de los Trabajadores del  ISSSTE  es  un  Órgano  Directivo  que  será  designado  en  los términos  del  artículo  75,  fracción  IX  del  Estatuto  del  Sindicato  y cuya finalidad es otorgar Auxilios a sus miembros en los términos y procedimientos establecidos en el presente Reglamento.</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rPr>
          <w:rFonts w:ascii="Century Gothic" w:hAnsi="Century Gothic" w:cs="Century Gothic"/>
          <w:color w:val="000000"/>
          <w:sz w:val="28"/>
          <w:szCs w:val="28"/>
        </w:rPr>
      </w:pPr>
      <w:r>
        <w:rPr>
          <w:rFonts w:ascii="Century Gothic" w:hAnsi="Century Gothic" w:cs="Century Gothic"/>
          <w:color w:val="000000"/>
          <w:sz w:val="28"/>
          <w:szCs w:val="28"/>
        </w:rPr>
        <w:t>Artículo 2.- Para los efectos del presente Reglamento se entenderá por: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rPr>
          <w:rFonts w:ascii="Century Gothic" w:hAnsi="Century Gothic" w:cs="Century Gothic"/>
          <w:color w:val="000000"/>
          <w:sz w:val="28"/>
          <w:szCs w:val="28"/>
        </w:rPr>
      </w:pPr>
      <w:r>
        <w:rPr>
          <w:rFonts w:ascii="Century Gothic" w:hAnsi="Century Gothic" w:cs="Century Gothic"/>
          <w:color w:val="000000"/>
          <w:sz w:val="28"/>
          <w:szCs w:val="28"/>
        </w:rPr>
        <w:t>I.-   Comisión.- Comisión Nacional de Auxilios de los Trabajadores del  ISSSTE.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Pr>
          <w:rFonts w:ascii="Century Gothic" w:hAnsi="Century Gothic" w:cs="Century Gothic"/>
          <w:color w:val="000000"/>
          <w:sz w:val="28"/>
          <w:szCs w:val="28"/>
        </w:rPr>
      </w:pPr>
      <w:r>
        <w:rPr>
          <w:rFonts w:ascii="Century Gothic" w:hAnsi="Century Gothic" w:cs="Century Gothic"/>
          <w:color w:val="000000"/>
          <w:sz w:val="28"/>
          <w:szCs w:val="28"/>
        </w:rPr>
        <w:t>II.-  Instituto.-  Instituto  de  Seguridad  y  Servicios  Sociales  de  los</w:t>
      </w:r>
    </w:p>
    <w:p w:rsidR="00AF7B09" w:rsidRDefault="00F50275">
      <w:pPr>
        <w:widowControl w:val="0"/>
        <w:autoSpaceDE w:val="0"/>
        <w:autoSpaceDN w:val="0"/>
        <w:adjustRightInd w:val="0"/>
        <w:spacing w:after="0" w:line="240" w:lineRule="auto"/>
        <w:ind w:left="100"/>
        <w:rPr>
          <w:rFonts w:ascii="Century Gothic" w:hAnsi="Century Gothic" w:cs="Century Gothic"/>
          <w:color w:val="000000"/>
          <w:sz w:val="28"/>
          <w:szCs w:val="28"/>
        </w:rPr>
      </w:pPr>
      <w:r>
        <w:rPr>
          <w:rFonts w:ascii="Century Gothic" w:hAnsi="Century Gothic" w:cs="Century Gothic"/>
          <w:color w:val="000000"/>
          <w:sz w:val="28"/>
          <w:szCs w:val="28"/>
        </w:rPr>
        <w:t>Trabajadores del Estado (ISSSTE).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9"/>
        <w:rPr>
          <w:rFonts w:ascii="Century Gothic" w:hAnsi="Century Gothic" w:cs="Century Gothic"/>
          <w:color w:val="000000"/>
          <w:sz w:val="28"/>
          <w:szCs w:val="28"/>
        </w:rPr>
      </w:pPr>
      <w:r>
        <w:rPr>
          <w:rFonts w:ascii="Century Gothic" w:hAnsi="Century Gothic" w:cs="Century Gothic"/>
          <w:color w:val="000000"/>
          <w:sz w:val="28"/>
          <w:szCs w:val="28"/>
        </w:rPr>
        <w:t>III.- Ley del ISSSTE.- Ley del Instituto de Seguridad y Servicios Sociales de los  Trabajadores del Estado.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Pr>
          <w:rFonts w:ascii="Century Gothic" w:hAnsi="Century Gothic" w:cs="Century Gothic"/>
          <w:color w:val="000000"/>
          <w:sz w:val="28"/>
          <w:szCs w:val="28"/>
        </w:rPr>
      </w:pPr>
      <w:r>
        <w:rPr>
          <w:rFonts w:ascii="Century Gothic" w:hAnsi="Century Gothic" w:cs="Century Gothic"/>
          <w:color w:val="000000"/>
          <w:sz w:val="28"/>
          <w:szCs w:val="28"/>
        </w:rPr>
        <w:t>IV.  Miembros.-  Trabajadores  del  ISSSTE  que  son  miembros  de  la</w:t>
      </w:r>
    </w:p>
    <w:p w:rsidR="00AF7B09" w:rsidRDefault="00F50275">
      <w:pPr>
        <w:widowControl w:val="0"/>
        <w:autoSpaceDE w:val="0"/>
        <w:autoSpaceDN w:val="0"/>
        <w:adjustRightInd w:val="0"/>
        <w:spacing w:after="0" w:line="240" w:lineRule="auto"/>
        <w:ind w:left="100"/>
        <w:rPr>
          <w:rFonts w:ascii="Century Gothic" w:hAnsi="Century Gothic" w:cs="Century Gothic"/>
          <w:color w:val="000000"/>
          <w:sz w:val="28"/>
          <w:szCs w:val="28"/>
        </w:rPr>
      </w:pPr>
      <w:r>
        <w:rPr>
          <w:rFonts w:ascii="Century Gothic" w:hAnsi="Century Gothic" w:cs="Century Gothic"/>
          <w:color w:val="000000"/>
          <w:sz w:val="28"/>
          <w:szCs w:val="28"/>
        </w:rPr>
        <w:t>Comisión en los términos del artículo 7 de este Reglamento.</w:t>
      </w:r>
    </w:p>
    <w:p w:rsidR="00AF7B09" w:rsidRDefault="00F50275">
      <w:pPr>
        <w:widowControl w:val="0"/>
        <w:autoSpaceDE w:val="0"/>
        <w:autoSpaceDN w:val="0"/>
        <w:adjustRightInd w:val="0"/>
        <w:spacing w:before="78" w:after="0" w:line="686" w:lineRule="exact"/>
        <w:ind w:left="100" w:right="68"/>
        <w:rPr>
          <w:rFonts w:ascii="Century Gothic" w:hAnsi="Century Gothic" w:cs="Century Gothic"/>
          <w:color w:val="000000"/>
          <w:sz w:val="28"/>
          <w:szCs w:val="28"/>
        </w:rPr>
      </w:pPr>
      <w:r>
        <w:rPr>
          <w:rFonts w:ascii="Century Gothic" w:hAnsi="Century Gothic" w:cs="Century Gothic"/>
          <w:color w:val="000000"/>
          <w:sz w:val="28"/>
          <w:szCs w:val="28"/>
        </w:rPr>
        <w:t>V.- Reglamento.- Reglamento de la Comisión Nacional de Auxilios. VI.- Sindicato.- Sindicato Nacional de Trabajadores del ISSSTE. Artículo  3.-  La  Comisión  otorgará  el  Auxilio  a  los  miembros  que</w:t>
      </w:r>
    </w:p>
    <w:p w:rsidR="00AF7B09" w:rsidRDefault="00F50275">
      <w:pPr>
        <w:widowControl w:val="0"/>
        <w:autoSpaceDE w:val="0"/>
        <w:autoSpaceDN w:val="0"/>
        <w:adjustRightInd w:val="0"/>
        <w:spacing w:after="0" w:line="268" w:lineRule="exact"/>
        <w:ind w:left="100"/>
        <w:rPr>
          <w:rFonts w:ascii="Century Gothic" w:hAnsi="Century Gothic" w:cs="Century Gothic"/>
          <w:color w:val="000000"/>
          <w:sz w:val="28"/>
          <w:szCs w:val="28"/>
        </w:rPr>
      </w:pPr>
      <w:r>
        <w:rPr>
          <w:rFonts w:ascii="Century Gothic" w:hAnsi="Century Gothic" w:cs="Century Gothic"/>
          <w:color w:val="000000"/>
          <w:position w:val="1"/>
          <w:sz w:val="28"/>
          <w:szCs w:val="28"/>
        </w:rPr>
        <w:t>causen   Baja   Oficial   del   Instituto   en   las   modalidades   que   a</w:t>
      </w:r>
    </w:p>
    <w:p w:rsidR="00AF7B09" w:rsidRDefault="00F50275">
      <w:pPr>
        <w:widowControl w:val="0"/>
        <w:autoSpaceDE w:val="0"/>
        <w:autoSpaceDN w:val="0"/>
        <w:adjustRightInd w:val="0"/>
        <w:spacing w:after="0" w:line="240" w:lineRule="auto"/>
        <w:ind w:left="100" w:right="69"/>
        <w:rPr>
          <w:rFonts w:ascii="Century Gothic" w:hAnsi="Century Gothic" w:cs="Century Gothic"/>
          <w:color w:val="000000"/>
          <w:sz w:val="28"/>
          <w:szCs w:val="28"/>
        </w:rPr>
      </w:pPr>
      <w:r>
        <w:rPr>
          <w:rFonts w:ascii="Century Gothic" w:hAnsi="Century Gothic" w:cs="Century Gothic"/>
          <w:color w:val="000000"/>
          <w:sz w:val="28"/>
          <w:szCs w:val="28"/>
        </w:rPr>
        <w:t>continuación  se  precisan,  estos  Auxilios  tendrán  las  siguientes finalidades:</w:t>
      </w:r>
    </w:p>
    <w:p w:rsidR="00AF7B09" w:rsidRDefault="00AF7B09">
      <w:pPr>
        <w:widowControl w:val="0"/>
        <w:autoSpaceDE w:val="0"/>
        <w:autoSpaceDN w:val="0"/>
        <w:adjustRightInd w:val="0"/>
        <w:spacing w:after="0" w:line="240" w:lineRule="auto"/>
        <w:ind w:left="100" w:right="69"/>
        <w:rPr>
          <w:rFonts w:ascii="Century Gothic" w:hAnsi="Century Gothic" w:cs="Century Gothic"/>
          <w:color w:val="000000"/>
          <w:sz w:val="28"/>
          <w:szCs w:val="28"/>
        </w:rPr>
        <w:sectPr w:rsidR="00AF7B09">
          <w:footerReference w:type="default" r:id="rId12"/>
          <w:pgSz w:w="12240" w:h="15840"/>
          <w:pgMar w:top="1380" w:right="1580" w:bottom="280" w:left="1460" w:header="0" w:footer="1003" w:gutter="0"/>
          <w:pgNumType w:start="3"/>
          <w:cols w:space="720" w:equalWidth="0">
            <w:col w:w="9200"/>
          </w:cols>
          <w:noEndnote/>
        </w:sectPr>
      </w:pPr>
    </w:p>
    <w:p w:rsidR="00AF7B09" w:rsidRDefault="00F50275">
      <w:pPr>
        <w:widowControl w:val="0"/>
        <w:tabs>
          <w:tab w:val="left" w:pos="860"/>
        </w:tabs>
        <w:autoSpaceDE w:val="0"/>
        <w:autoSpaceDN w:val="0"/>
        <w:adjustRightInd w:val="0"/>
        <w:spacing w:before="40" w:after="0" w:line="240" w:lineRule="auto"/>
        <w:ind w:left="440" w:right="67" w:hanging="142"/>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I.</w:t>
      </w:r>
      <w:r>
        <w:rPr>
          <w:rFonts w:ascii="Century Gothic" w:hAnsi="Century Gothic" w:cs="Century Gothic"/>
          <w:color w:val="000000"/>
          <w:sz w:val="28"/>
          <w:szCs w:val="28"/>
        </w:rPr>
        <w:tab/>
        <w:t>Auxilio    por   Defunción.-    Ayudar   económicamente    a    los beneficiarios de los miembros de la Comisión en el caso de que estos últimos fallezcan.</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5" w:hanging="204"/>
        <w:jc w:val="both"/>
        <w:rPr>
          <w:rFonts w:ascii="Century Gothic" w:hAnsi="Century Gothic" w:cs="Century Gothic"/>
          <w:color w:val="000000"/>
          <w:sz w:val="28"/>
          <w:szCs w:val="28"/>
        </w:rPr>
      </w:pPr>
      <w:r>
        <w:rPr>
          <w:rFonts w:ascii="Century Gothic" w:hAnsi="Century Gothic" w:cs="Century Gothic"/>
          <w:color w:val="000000"/>
          <w:sz w:val="28"/>
          <w:szCs w:val="28"/>
        </w:rPr>
        <w:t>II.     Auxilio    por    Incapacidad    Total    y    Permanente.-    Ayudar económicamente a los miembros de la Comisión cuando sufran algún  Accidente  de  Trabajo,  tal  como  lo  prevé  el  artículo  56 fracción III de la Ley del ISSSTE en vigor.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5" w:hanging="266"/>
        <w:jc w:val="both"/>
        <w:rPr>
          <w:rFonts w:ascii="Century Gothic" w:hAnsi="Century Gothic" w:cs="Century Gothic"/>
          <w:color w:val="000000"/>
          <w:sz w:val="28"/>
          <w:szCs w:val="28"/>
        </w:rPr>
      </w:pPr>
      <w:r>
        <w:rPr>
          <w:rFonts w:ascii="Century Gothic" w:hAnsi="Century Gothic" w:cs="Century Gothic"/>
          <w:color w:val="000000"/>
          <w:sz w:val="28"/>
          <w:szCs w:val="28"/>
        </w:rPr>
        <w:t>III.     Auxilio por Invalidez.- Ayudar económicamente a los miembros de la Comisión, cuando   se inhabiliten física o mentalmente, tal como se prevé en el artículo 118  de la Ley del ISSSTE  en vigor.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7" w:hanging="338"/>
        <w:jc w:val="both"/>
        <w:rPr>
          <w:rFonts w:ascii="Century Gothic" w:hAnsi="Century Gothic" w:cs="Century Gothic"/>
          <w:color w:val="000000"/>
          <w:sz w:val="28"/>
          <w:szCs w:val="28"/>
        </w:rPr>
      </w:pPr>
      <w:r>
        <w:rPr>
          <w:rFonts w:ascii="Century Gothic" w:hAnsi="Century Gothic" w:cs="Century Gothic"/>
          <w:color w:val="000000"/>
          <w:sz w:val="28"/>
          <w:szCs w:val="28"/>
        </w:rPr>
        <w:t>IV.      Auxilio   por   Separación:   Ayudar   económicamente   a   los miembros  cuando después de haber contribuido durante 5 años o más al fondo de la Comisión causen Baja Oficial del Instituto. Este Auxilio adopta las siguientes modalidades: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9"/>
        <w:jc w:val="both"/>
        <w:rPr>
          <w:rFonts w:ascii="Century Gothic" w:hAnsi="Century Gothic" w:cs="Century Gothic"/>
          <w:color w:val="000000"/>
          <w:sz w:val="28"/>
          <w:szCs w:val="28"/>
        </w:rPr>
      </w:pPr>
      <w:r>
        <w:rPr>
          <w:rFonts w:ascii="Century Gothic" w:hAnsi="Century Gothic" w:cs="Century Gothic"/>
          <w:color w:val="000000"/>
          <w:sz w:val="28"/>
          <w:szCs w:val="28"/>
        </w:rPr>
        <w:t>a)  Auxilio por Cese.- Ayudar económicamente a los miembros de la Comisión que se retiren del Instituto por rescisión a su contrato de trabajo.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6"/>
        <w:jc w:val="both"/>
        <w:rPr>
          <w:rFonts w:ascii="Century Gothic" w:hAnsi="Century Gothic" w:cs="Century Gothic"/>
          <w:color w:val="000000"/>
          <w:sz w:val="28"/>
          <w:szCs w:val="28"/>
        </w:rPr>
      </w:pPr>
      <w:r>
        <w:rPr>
          <w:rFonts w:ascii="Century Gothic" w:hAnsi="Century Gothic" w:cs="Century Gothic"/>
          <w:color w:val="000000"/>
          <w:sz w:val="28"/>
          <w:szCs w:val="28"/>
        </w:rPr>
        <w:t>b)  Auxilio     por     Cesantía     en     Edad     Avanzada.-     Ayudar económicamente  a  los  miembros  de  la  Comisión,  siempre  que cumplan con   lo dispuesto en el Artículo 10° transitorio fracción I inciso c  o  el Artículo 84 de la Ley del ISSSTE en vigor, según sea el caso.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9"/>
        <w:jc w:val="both"/>
        <w:rPr>
          <w:rFonts w:ascii="Century Gothic" w:hAnsi="Century Gothic" w:cs="Century Gothic"/>
          <w:color w:val="000000"/>
          <w:sz w:val="28"/>
          <w:szCs w:val="28"/>
        </w:rPr>
      </w:pPr>
      <w:r>
        <w:rPr>
          <w:rFonts w:ascii="Century Gothic" w:hAnsi="Century Gothic" w:cs="Century Gothic"/>
          <w:color w:val="000000"/>
          <w:sz w:val="28"/>
          <w:szCs w:val="28"/>
        </w:rPr>
        <w:t>c)  Auxilio    por    Jubilación.-    Ayudar   económicamente    a    los miembros de la Comisión, siempre que cumplan con  lo dispuesto en el Artículo 10° transitorio fracción I inciso a de la Ley del ISSSTE en vigor.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40" w:right="66"/>
        <w:jc w:val="both"/>
        <w:rPr>
          <w:rFonts w:ascii="Century Gothic" w:hAnsi="Century Gothic" w:cs="Century Gothic"/>
          <w:color w:val="000000"/>
          <w:sz w:val="28"/>
          <w:szCs w:val="28"/>
        </w:rPr>
      </w:pPr>
      <w:r>
        <w:rPr>
          <w:rFonts w:ascii="Century Gothic" w:hAnsi="Century Gothic" w:cs="Century Gothic"/>
          <w:color w:val="000000"/>
          <w:sz w:val="28"/>
          <w:szCs w:val="28"/>
        </w:rPr>
        <w:t>d)  Auxilio por Pensión de por Edad y Tiempo de Servicios.- Ayudar económicamente  a  los  miembros  de  la  Comisión,  siempre  que cumplan con   lo dispuesto en el Artículo 10° transitorio fracción I inciso b de la Ley del ISSSTE en vigor.</w:t>
      </w:r>
    </w:p>
    <w:p w:rsidR="00AF7B09" w:rsidRDefault="00AF7B09">
      <w:pPr>
        <w:widowControl w:val="0"/>
        <w:autoSpaceDE w:val="0"/>
        <w:autoSpaceDN w:val="0"/>
        <w:adjustRightInd w:val="0"/>
        <w:spacing w:after="0" w:line="240" w:lineRule="auto"/>
        <w:ind w:left="440" w:right="66"/>
        <w:jc w:val="both"/>
        <w:rPr>
          <w:rFonts w:ascii="Century Gothic" w:hAnsi="Century Gothic" w:cs="Century Gothic"/>
          <w:color w:val="000000"/>
          <w:sz w:val="28"/>
          <w:szCs w:val="28"/>
        </w:rPr>
        <w:sectPr w:rsidR="00AF7B09">
          <w:pgSz w:w="12240" w:h="15840"/>
          <w:pgMar w:top="1380" w:right="1580" w:bottom="280" w:left="1120" w:header="0" w:footer="1003" w:gutter="0"/>
          <w:cols w:space="720" w:equalWidth="0">
            <w:col w:w="9540"/>
          </w:cols>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1"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e)  Auxilio por Vejez: Ayudar económicamente a los miembros de la Comisión, siempre que cumplan con  lo dispuesto en el Artículo</w:t>
      </w:r>
    </w:p>
    <w:p w:rsidR="00AF7B09" w:rsidRDefault="00F50275">
      <w:pPr>
        <w:widowControl w:val="0"/>
        <w:autoSpaceDE w:val="0"/>
        <w:autoSpaceDN w:val="0"/>
        <w:adjustRightInd w:val="0"/>
        <w:spacing w:after="0" w:line="341" w:lineRule="exact"/>
        <w:ind w:left="100" w:right="4841"/>
        <w:jc w:val="both"/>
        <w:rPr>
          <w:rFonts w:ascii="Century Gothic" w:hAnsi="Century Gothic" w:cs="Century Gothic"/>
          <w:color w:val="000000"/>
          <w:sz w:val="28"/>
          <w:szCs w:val="28"/>
        </w:rPr>
      </w:pPr>
      <w:r>
        <w:rPr>
          <w:rFonts w:ascii="Century Gothic" w:hAnsi="Century Gothic" w:cs="Century Gothic"/>
          <w:color w:val="000000"/>
          <w:position w:val="-1"/>
          <w:sz w:val="28"/>
          <w:szCs w:val="28"/>
        </w:rPr>
        <w:t>89 de la Ley del ISSSTE en vigor.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f)   Auxilio por Retiro.- Ayudar económicamente a los miembros de la Comisión, siempre que cumplan con  lo dispuesto en el Artículo</w:t>
      </w:r>
    </w:p>
    <w:p w:rsidR="00AF7B09" w:rsidRDefault="00F50275">
      <w:pPr>
        <w:widowControl w:val="0"/>
        <w:autoSpaceDE w:val="0"/>
        <w:autoSpaceDN w:val="0"/>
        <w:adjustRightInd w:val="0"/>
        <w:spacing w:after="0" w:line="240" w:lineRule="auto"/>
        <w:ind w:left="100" w:right="4841"/>
        <w:jc w:val="both"/>
        <w:rPr>
          <w:rFonts w:ascii="Century Gothic" w:hAnsi="Century Gothic" w:cs="Century Gothic"/>
          <w:color w:val="000000"/>
          <w:sz w:val="28"/>
          <w:szCs w:val="28"/>
        </w:rPr>
      </w:pPr>
      <w:r>
        <w:rPr>
          <w:rFonts w:ascii="Century Gothic" w:hAnsi="Century Gothic" w:cs="Century Gothic"/>
          <w:color w:val="000000"/>
          <w:sz w:val="28"/>
          <w:szCs w:val="28"/>
        </w:rPr>
        <w:t>80 de la Ley del ISSSTE en vigor.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g)  Auxilio por Renuncia.- Ayudar económicamente a los miembros de la Comisión en el caso de que estos últimos decidan separarse del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5"/>
        <w:jc w:val="both"/>
        <w:rPr>
          <w:rFonts w:ascii="Century Gothic" w:hAnsi="Century Gothic" w:cs="Century Gothic"/>
          <w:color w:val="000000"/>
          <w:sz w:val="28"/>
          <w:szCs w:val="28"/>
        </w:rPr>
      </w:pPr>
      <w:r>
        <w:rPr>
          <w:rFonts w:ascii="Century Gothic" w:hAnsi="Century Gothic" w:cs="Century Gothic"/>
          <w:color w:val="000000"/>
          <w:sz w:val="28"/>
          <w:szCs w:val="28"/>
        </w:rPr>
        <w:t>El  Auxilio  por  Defunción  y  el  Auxilio  por  Incapacidad  Total  y</w:t>
      </w:r>
    </w:p>
    <w:p w:rsidR="00AF7B09" w:rsidRDefault="00F50275">
      <w:pPr>
        <w:widowControl w:val="0"/>
        <w:autoSpaceDE w:val="0"/>
        <w:autoSpaceDN w:val="0"/>
        <w:adjustRightInd w:val="0"/>
        <w:spacing w:after="0" w:line="240" w:lineRule="auto"/>
        <w:ind w:left="100" w:right="530"/>
        <w:jc w:val="both"/>
        <w:rPr>
          <w:rFonts w:ascii="Century Gothic" w:hAnsi="Century Gothic" w:cs="Century Gothic"/>
          <w:color w:val="000000"/>
          <w:sz w:val="28"/>
          <w:szCs w:val="28"/>
        </w:rPr>
      </w:pPr>
      <w:r>
        <w:rPr>
          <w:rFonts w:ascii="Century Gothic" w:hAnsi="Century Gothic" w:cs="Century Gothic"/>
          <w:color w:val="000000"/>
          <w:sz w:val="28"/>
          <w:szCs w:val="28"/>
        </w:rPr>
        <w:t>Permanente se otorgarán sin importar el tiempo de cotización.</w:t>
      </w:r>
    </w:p>
    <w:p w:rsidR="00AF7B09" w:rsidRDefault="00F50275">
      <w:pPr>
        <w:widowControl w:val="0"/>
        <w:autoSpaceDE w:val="0"/>
        <w:autoSpaceDN w:val="0"/>
        <w:adjustRightInd w:val="0"/>
        <w:spacing w:after="0" w:line="240" w:lineRule="auto"/>
        <w:ind w:left="100" w:right="75"/>
        <w:jc w:val="both"/>
        <w:rPr>
          <w:rFonts w:ascii="Century Gothic" w:hAnsi="Century Gothic" w:cs="Century Gothic"/>
          <w:color w:val="000000"/>
          <w:sz w:val="28"/>
          <w:szCs w:val="28"/>
        </w:rPr>
      </w:pPr>
      <w:r>
        <w:rPr>
          <w:rFonts w:ascii="Century Gothic" w:hAnsi="Century Gothic" w:cs="Century Gothic"/>
          <w:color w:val="000000"/>
          <w:sz w:val="28"/>
          <w:szCs w:val="28"/>
        </w:rPr>
        <w:t>El   Auxilio   por   Invalidez   se   otorgará   de   conformidad   con   lo dispuesto por el artículo 15 bis de este Reglamento.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5"/>
        <w:jc w:val="both"/>
        <w:rPr>
          <w:rFonts w:ascii="Century Gothic" w:hAnsi="Century Gothic" w:cs="Century Gothic"/>
          <w:color w:val="000000"/>
          <w:sz w:val="28"/>
          <w:szCs w:val="28"/>
        </w:rPr>
      </w:pPr>
      <w:r>
        <w:rPr>
          <w:rFonts w:ascii="Century Gothic" w:hAnsi="Century Gothic" w:cs="Century Gothic"/>
          <w:color w:val="000000"/>
          <w:sz w:val="28"/>
          <w:szCs w:val="28"/>
        </w:rPr>
        <w:t>Los Auxilios por separación que se mencionan en este artículo, se pagarán  solo  sí  los  miembros  cumplen  con  lo  dispuesto  en  el Artículo 26 y 27 de este Reglamento.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Artículo  4.-  Los  Auxilios  establecidos  no  constituyen  derechos patrimoniales,   sino     una   ayuda   de   carácter   social   que   los miembros   se   proporcionan   a   sí   mismos,   brindada   por   única ocasión, cuando se cumplan las condiciones establecidas en este Reglamento.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Artículo 5  .-  Los  Auxilios  a  que  se  refiere  este  Reglamento  son intransferibles e inajenables.</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Artículo 6.- La aplicación de este Reglamento es rígida y estricta por lo que respecta al otorgamiento de los Auxilios.</w:t>
      </w:r>
    </w:p>
    <w:p w:rsidR="00AF7B09" w:rsidRDefault="00AF7B09">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sectPr w:rsidR="00AF7B09">
          <w:pgSz w:w="12240" w:h="15840"/>
          <w:pgMar w:top="1480" w:right="1580" w:bottom="280" w:left="1460" w:header="0" w:footer="1003" w:gutter="0"/>
          <w:cols w:space="720" w:equalWidth="0">
            <w:col w:w="9200"/>
          </w:cols>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62" w:right="3824"/>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II.</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371" w:right="2388"/>
        <w:jc w:val="center"/>
        <w:rPr>
          <w:rFonts w:ascii="Century Gothic" w:hAnsi="Century Gothic" w:cs="Century Gothic"/>
          <w:color w:val="000000"/>
          <w:sz w:val="28"/>
          <w:szCs w:val="28"/>
        </w:rPr>
      </w:pPr>
      <w:r>
        <w:rPr>
          <w:rFonts w:ascii="Century Gothic" w:hAnsi="Century Gothic" w:cs="Century Gothic"/>
          <w:b/>
          <w:bCs/>
          <w:color w:val="000000"/>
          <w:sz w:val="28"/>
          <w:szCs w:val="28"/>
        </w:rPr>
        <w:t>De los Miembros de la Comisión</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Artículo 7.- Todos los trabajadores del Instituto podrán ser miembros de la Comisión, con las obligaciones y derechos consignados en este Reglamento, siempre que cumplan los siguientes requisitos: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4986"/>
        <w:jc w:val="both"/>
        <w:rPr>
          <w:rFonts w:ascii="Century Gothic" w:hAnsi="Century Gothic" w:cs="Century Gothic"/>
          <w:color w:val="000000"/>
          <w:sz w:val="28"/>
          <w:szCs w:val="28"/>
        </w:rPr>
      </w:pPr>
      <w:r>
        <w:rPr>
          <w:rFonts w:ascii="Century Gothic" w:hAnsi="Century Gothic" w:cs="Century Gothic"/>
          <w:color w:val="000000"/>
          <w:sz w:val="28"/>
          <w:szCs w:val="28"/>
        </w:rPr>
        <w:t>a)  Ser trabajador del Instituto.</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b)  Que se le descuenten de su sueldo, las cuotas de aportación consignadas en este Reglamento.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c)  Suscribir la “Carta de Designación de Beneficiarios” a que se</w:t>
      </w:r>
    </w:p>
    <w:p w:rsidR="00AF7B09" w:rsidRDefault="00F50275">
      <w:pPr>
        <w:widowControl w:val="0"/>
        <w:autoSpaceDE w:val="0"/>
        <w:autoSpaceDN w:val="0"/>
        <w:adjustRightInd w:val="0"/>
        <w:spacing w:after="0" w:line="240" w:lineRule="auto"/>
        <w:ind w:left="100" w:right="3466"/>
        <w:jc w:val="both"/>
        <w:rPr>
          <w:rFonts w:ascii="Century Gothic" w:hAnsi="Century Gothic" w:cs="Century Gothic"/>
          <w:color w:val="000000"/>
          <w:sz w:val="28"/>
          <w:szCs w:val="28"/>
        </w:rPr>
      </w:pPr>
      <w:r>
        <w:rPr>
          <w:rFonts w:ascii="Century Gothic" w:hAnsi="Century Gothic" w:cs="Century Gothic"/>
          <w:color w:val="000000"/>
          <w:sz w:val="28"/>
          <w:szCs w:val="28"/>
        </w:rPr>
        <w:t>refiere el artículo 20 de este Reglamento.</w:t>
      </w:r>
    </w:p>
    <w:p w:rsidR="00AF7B09" w:rsidRDefault="00AF7B09">
      <w:pPr>
        <w:widowControl w:val="0"/>
        <w:autoSpaceDE w:val="0"/>
        <w:autoSpaceDN w:val="0"/>
        <w:adjustRightInd w:val="0"/>
        <w:spacing w:after="0" w:line="240" w:lineRule="auto"/>
        <w:ind w:left="100" w:right="3466"/>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24" w:right="3783"/>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III.</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527" w:right="2686"/>
        <w:jc w:val="center"/>
        <w:rPr>
          <w:rFonts w:ascii="Century Gothic" w:hAnsi="Century Gothic" w:cs="Century Gothic"/>
          <w:color w:val="000000"/>
          <w:sz w:val="28"/>
          <w:szCs w:val="28"/>
        </w:rPr>
      </w:pPr>
      <w:r>
        <w:rPr>
          <w:rFonts w:ascii="Century Gothic" w:hAnsi="Century Gothic" w:cs="Century Gothic"/>
          <w:b/>
          <w:bCs/>
          <w:color w:val="000000"/>
          <w:sz w:val="28"/>
          <w:szCs w:val="28"/>
        </w:rPr>
        <w:t>De la Constitución del Fondo</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Artículo  8.-  El  fondo  de  la  Comisión  Nacional  de  Auxilios  se constituye: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  Con las cuotas personales que aportan sus miembros a razón del 3% del salario mínimo burocrático mensual del ISSSTE, vigente en el Distrito Federal.</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1628"/>
        <w:jc w:val="both"/>
        <w:rPr>
          <w:rFonts w:ascii="Century Gothic" w:hAnsi="Century Gothic" w:cs="Century Gothic"/>
          <w:color w:val="000000"/>
          <w:sz w:val="28"/>
          <w:szCs w:val="28"/>
        </w:rPr>
      </w:pPr>
      <w:r>
        <w:rPr>
          <w:rFonts w:ascii="Century Gothic" w:hAnsi="Century Gothic" w:cs="Century Gothic"/>
          <w:color w:val="000000"/>
          <w:sz w:val="28"/>
          <w:szCs w:val="28"/>
        </w:rPr>
        <w:t>b)  Con la cantidad que en su caso, aporte al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c)  Con  las  donaciones,  herencias  y  legados  que  hicieren  en  su favor.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4356"/>
        <w:jc w:val="both"/>
        <w:rPr>
          <w:rFonts w:ascii="Century Gothic" w:hAnsi="Century Gothic" w:cs="Century Gothic"/>
          <w:color w:val="000000"/>
          <w:sz w:val="28"/>
          <w:szCs w:val="28"/>
        </w:rPr>
      </w:pPr>
      <w:r>
        <w:rPr>
          <w:rFonts w:ascii="Century Gothic" w:hAnsi="Century Gothic" w:cs="Century Gothic"/>
          <w:color w:val="000000"/>
          <w:sz w:val="28"/>
          <w:szCs w:val="28"/>
        </w:rPr>
        <w:t>d)  Con los Auxilios que prescriban.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e)  Con  los  rendimientos  que  produzcan  las  inversiones  de  los remanentes a que se refiere el artículo 9° de este Reglamento.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Artículo 9.- En caso de que existan remanentes del Fondo de la Comisión   Nacional   de   Auxilios,   ellos   se   invertirán   en   valores fácilmente negociables, de absoluta seguridad para garantía del patrimonio  de  dicha  Comisión. Los  rendimientos  que  produzcan esas inversiones, incrementarán el Fondo.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Artículo  10.-  Las  deducciones  por  concepto  de  cuotas  de  los miembros   serán   efectuadas   por   conducto   de   las   oficinas pagadoras    responsables    dependientes    del    área    que    le corresponda  de  acuerdo  al  Reglamento  Interior  del  Instituto, SUPERISSSTE, así como de la caja General del Fondo de la Vivienda ISSSTE, aplicando las disposiciones que al respecto se dicten.  Las cuotas que por cualquier motivo no sean deducidas de los sueldos que  perciban  los  miembros  deberán  ser  cubiertas  por  éstos</w:t>
      </w:r>
    </w:p>
    <w:p w:rsidR="00AF7B09" w:rsidRDefault="00AF7B09">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directamente en la Tesorería de dicha Comisión la cual otorgará el recibo respectivo.</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5"/>
        <w:jc w:val="both"/>
        <w:rPr>
          <w:rFonts w:ascii="Century Gothic" w:hAnsi="Century Gothic" w:cs="Century Gothic"/>
          <w:color w:val="000000"/>
          <w:sz w:val="28"/>
          <w:szCs w:val="28"/>
        </w:rPr>
      </w:pPr>
      <w:r>
        <w:rPr>
          <w:rFonts w:ascii="Century Gothic" w:hAnsi="Century Gothic" w:cs="Century Gothic"/>
          <w:color w:val="000000"/>
          <w:sz w:val="28"/>
          <w:szCs w:val="28"/>
        </w:rPr>
        <w:t>Artículo 11.- El monto de las cuotas a que se refiere el Artículos 8 y consecuentemente,  el  importe  de  los  Auxilios  descritos  en  los Artículos 13, 15, 15 bis Y 26, respectivamente de este Reglamento, podrán   ser   modificados   cuando  así   lo  acuerde  la   H.  Junta Directiva del Instituto, la Directiva de la Comisión y el Presidente del  Sindicato.</w:t>
      </w:r>
    </w:p>
    <w:p w:rsidR="00AF7B09" w:rsidRDefault="00AF7B09">
      <w:pPr>
        <w:widowControl w:val="0"/>
        <w:autoSpaceDE w:val="0"/>
        <w:autoSpaceDN w:val="0"/>
        <w:adjustRightInd w:val="0"/>
        <w:spacing w:after="0" w:line="240" w:lineRule="auto"/>
        <w:ind w:left="100" w:right="65"/>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F50275">
      <w:pPr>
        <w:widowControl w:val="0"/>
        <w:autoSpaceDE w:val="0"/>
        <w:autoSpaceDN w:val="0"/>
        <w:adjustRightInd w:val="0"/>
        <w:spacing w:before="8" w:after="0" w:line="240" w:lineRule="auto"/>
        <w:ind w:left="3605" w:right="3764"/>
        <w:jc w:val="center"/>
        <w:rPr>
          <w:rFonts w:ascii="Century Gothic" w:hAnsi="Century Gothic" w:cs="Century Gothic"/>
          <w:color w:val="000000"/>
          <w:sz w:val="28"/>
          <w:szCs w:val="28"/>
        </w:rPr>
      </w:pPr>
      <w:r>
        <w:rPr>
          <w:rFonts w:ascii="Century Gothic" w:hAnsi="Century Gothic" w:cs="Century Gothic"/>
          <w:b/>
          <w:bCs/>
          <w:color w:val="000000"/>
          <w:sz w:val="28"/>
          <w:szCs w:val="28"/>
        </w:rPr>
        <w:lastRenderedPageBreak/>
        <w:t>CAPÍTULO IV.</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391" w:right="410"/>
        <w:jc w:val="center"/>
        <w:rPr>
          <w:rFonts w:ascii="Century Gothic" w:hAnsi="Century Gothic" w:cs="Century Gothic"/>
          <w:color w:val="000000"/>
          <w:sz w:val="28"/>
          <w:szCs w:val="28"/>
        </w:rPr>
      </w:pPr>
      <w:r>
        <w:rPr>
          <w:rFonts w:ascii="Century Gothic" w:hAnsi="Century Gothic" w:cs="Century Gothic"/>
          <w:b/>
          <w:bCs/>
          <w:color w:val="000000"/>
          <w:sz w:val="28"/>
          <w:szCs w:val="28"/>
        </w:rPr>
        <w:t>Del Auxilio por Defunción, Incapacidad Total y Permanente e</w:t>
      </w:r>
    </w:p>
    <w:p w:rsidR="00AF7B09" w:rsidRDefault="00F50275">
      <w:pPr>
        <w:widowControl w:val="0"/>
        <w:autoSpaceDE w:val="0"/>
        <w:autoSpaceDN w:val="0"/>
        <w:adjustRightInd w:val="0"/>
        <w:spacing w:after="0" w:line="240" w:lineRule="auto"/>
        <w:ind w:left="3941" w:right="3961"/>
        <w:jc w:val="center"/>
        <w:rPr>
          <w:rFonts w:ascii="Century Gothic" w:hAnsi="Century Gothic" w:cs="Century Gothic"/>
          <w:color w:val="000000"/>
          <w:sz w:val="28"/>
          <w:szCs w:val="28"/>
        </w:rPr>
      </w:pPr>
      <w:r>
        <w:rPr>
          <w:rFonts w:ascii="Century Gothic" w:hAnsi="Century Gothic" w:cs="Century Gothic"/>
          <w:b/>
          <w:bCs/>
          <w:color w:val="000000"/>
          <w:sz w:val="28"/>
          <w:szCs w:val="28"/>
        </w:rPr>
        <w:t>Invalidez</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Artículo   12.-   Tendrán   derecho   al   Auxilios   por   Defunción   las personas señaladas por el miembro en la “Carta de Designación de   Beneficiarios”,   siempre   que   los   derechos   del   trabajador fallecido estén vigentes, de acuerdo con lo establecido en este Reglamento.  En  caso  de  que  el  trabajador  designe  más  de  un beneficiario   y   alguno   de   estos  fallezca,  la  cantidad   que  le correspondiere,   será   dividida   entre   los   demás   beneficiarios sobrevivientes designados en dicha Carta.</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13.- El Auxilio por Defunción se otorgará de acuerdo a la Tabla  de  Auxilios  en  vigor  en  el  momento  del  fallecimiento  del miembro, acreditando los requisitos que señala el artículo 39 del Reglamento. Este pago estará integrado con: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479" w:lineRule="auto"/>
        <w:ind w:left="100" w:right="783"/>
        <w:rPr>
          <w:rFonts w:ascii="Century Gothic" w:hAnsi="Century Gothic" w:cs="Century Gothic"/>
          <w:color w:val="000000"/>
          <w:sz w:val="28"/>
          <w:szCs w:val="28"/>
        </w:rPr>
      </w:pPr>
      <w:r>
        <w:rPr>
          <w:rFonts w:ascii="Century Gothic" w:hAnsi="Century Gothic" w:cs="Century Gothic"/>
          <w:color w:val="000000"/>
          <w:sz w:val="28"/>
          <w:szCs w:val="28"/>
        </w:rPr>
        <w:t>a)   La cantidad que aporte la Comisión Nacional de Auxilios b)   La cantidad que aporte el Instituto.</w:t>
      </w:r>
    </w:p>
    <w:p w:rsidR="00AF7B09" w:rsidRDefault="00F50275">
      <w:pPr>
        <w:widowControl w:val="0"/>
        <w:autoSpaceDE w:val="0"/>
        <w:autoSpaceDN w:val="0"/>
        <w:adjustRightInd w:val="0"/>
        <w:spacing w:before="10"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Las  referidas  cantidades  se  actualizan  conforme  a la  tabla  que anualmente   autoriza   la   H.   Junta   Directivo   del   Instituto   de conformidad con el Convenio de Colaboración de fecha suscrito por la Comisión Nacional de Auxilios, el Sindicato y el Instituto.</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Este beneficio será otorgado sin deducciones por adeudos que hayan contraído el miembro con 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Artículo  14.-  Tendrá  derecho  al  Auxilio  por  Incapacidad  Total  y Permanente e Invalidez, el miembro o en su caso sus beneficiarios, siempre que los derechos del incapacitado estén vigentes.</w:t>
      </w:r>
    </w:p>
    <w:p w:rsidR="00AF7B09" w:rsidRDefault="00AF7B09">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Artículo   15.-     El   pago   del   “Auxilio   por   Incapacidad   Total   y Permanente”  se  otorgará  de  acuerdo  a  la  Tabla  de  Auxilios  en vigor al momento de acreditarse esa circunstancia y se cumplan los requisitos que señala el artículo 40 del Reglamento. Este pago estará integrado con:</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479" w:lineRule="auto"/>
        <w:ind w:left="100" w:right="783"/>
        <w:rPr>
          <w:rFonts w:ascii="Century Gothic" w:hAnsi="Century Gothic" w:cs="Century Gothic"/>
          <w:color w:val="000000"/>
          <w:sz w:val="28"/>
          <w:szCs w:val="28"/>
        </w:rPr>
      </w:pPr>
      <w:r>
        <w:rPr>
          <w:rFonts w:ascii="Century Gothic" w:hAnsi="Century Gothic" w:cs="Century Gothic"/>
          <w:color w:val="000000"/>
          <w:sz w:val="28"/>
          <w:szCs w:val="28"/>
        </w:rPr>
        <w:t>a)  La cantidad que aporte la Comisión Nacional de Auxilios. b)  La cantidad que aporte el Instituto.</w:t>
      </w:r>
    </w:p>
    <w:p w:rsidR="00AF7B09" w:rsidRDefault="00F50275">
      <w:pPr>
        <w:widowControl w:val="0"/>
        <w:autoSpaceDE w:val="0"/>
        <w:autoSpaceDN w:val="0"/>
        <w:adjustRightInd w:val="0"/>
        <w:spacing w:before="10"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Las  referidas  cantidades  se  actualizan  conforme  a la  tabla  que anualmente   autoriza   la   H.   Junta   Directivo   del   Instituto   de conformidad con el Convenio de Colaboración de fecha suscrito por la Comisión Nacional de Auxilios, el Sindicato y 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Este beneficio será otorgado sin deducciones por adeudos que hayan contraído el miembro con 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Artículo 15 bis: El Auxilio por Invalidez se otorgará de acuerdo a la Tabla   de   Auxilios   en   vigor   al   momento   de   acreditarse   esa circunstancia y se cumplan los requisitos que señala el artículo 40 del Reglamento.  Este pago estará integrado con: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479" w:lineRule="auto"/>
        <w:ind w:left="100" w:right="629"/>
        <w:rPr>
          <w:rFonts w:ascii="Century Gothic" w:hAnsi="Century Gothic" w:cs="Century Gothic"/>
          <w:color w:val="000000"/>
          <w:sz w:val="28"/>
          <w:szCs w:val="28"/>
        </w:rPr>
      </w:pPr>
      <w:r>
        <w:rPr>
          <w:rFonts w:ascii="Century Gothic" w:hAnsi="Century Gothic" w:cs="Century Gothic"/>
          <w:color w:val="000000"/>
          <w:sz w:val="28"/>
          <w:szCs w:val="28"/>
        </w:rPr>
        <w:t>a)   La cantidad que aporte la Comisión  Nacional de Auxilios. b)  La cantidad que aporte el Instituto.</w:t>
      </w:r>
    </w:p>
    <w:p w:rsidR="00AF7B09" w:rsidRDefault="00F50275">
      <w:pPr>
        <w:widowControl w:val="0"/>
        <w:autoSpaceDE w:val="0"/>
        <w:autoSpaceDN w:val="0"/>
        <w:adjustRightInd w:val="0"/>
        <w:spacing w:before="12"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Las  referidas  cantidades  se  actualizan  conforme  a la  tabla  que autoriza la H. Junta Directiva del Instituto de conformidad con el Convenio  de  Colaboración  de  fecha  suscrito  por  la  Comisión Nacional de Auxilios, el Sindicato y el Instituto.</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Este beneficio será otorgado sin deducciones por adeudos que hayan contraído el miembro con el Instituto.</w:t>
      </w:r>
    </w:p>
    <w:p w:rsidR="00AF7B09" w:rsidRDefault="00AF7B09">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Artículo 16: El derecho al Auxilio por Defunción, Incapacidad Total y Permanente e Invalidez, se adquieren a partir de la aportación, por  deducción  en  la  nómina  de  sueldos  o  por  entero  en  la Tesorería de la Comisión y cumplidos los requisitos que establece el artículo 7° de este Reglamento.</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5"/>
        <w:jc w:val="both"/>
        <w:rPr>
          <w:rFonts w:ascii="Century Gothic" w:hAnsi="Century Gothic" w:cs="Century Gothic"/>
          <w:color w:val="000000"/>
          <w:sz w:val="28"/>
          <w:szCs w:val="28"/>
        </w:rPr>
      </w:pPr>
      <w:r>
        <w:rPr>
          <w:rFonts w:ascii="Century Gothic" w:hAnsi="Century Gothic" w:cs="Century Gothic"/>
          <w:color w:val="000000"/>
          <w:sz w:val="28"/>
          <w:szCs w:val="28"/>
        </w:rPr>
        <w:t>Artículo 17.- Si al fallecer o causar baja por Incapacidad Total y Permanente o por Invalidez, un miembro de la Comisión Nacional de Auxilios deja adeudo por cuotas por menos de dos años por cualquier  motivo,  el  miembro    o  en  su  caso  los  beneficiarios deberán cubrir dicho adeudo para obtener el pago del Auxilio.  Si el adeudo es por dos años o más y no había reanudado sus pagos, se perderá el derecho al Auxilio por Defunción, Incapacidad Total y Permanente e Invalidez, pero tendrá derecho el miembro o sus beneficiarios al Auxilio por Retiro siempre y cuando haya aportado durante cinco o más años al Fondo de la Comisión.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Artículo 18: Cuando un miembro tenga entablado juicio por haber sido suspendido o cesado en su trabajo y fallece en el curso del litigio,   sus   beneficiarios,   para   obtener   el   pago   del   Auxilio correspondiente, deberán cubrir las aportaciones que hasta el día de su muerte dejo de pagar.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19.-  Los  Auxilios  por  Defunción, por  Incapacidad  Total  y Permanente o por Invalidez son inafectables; en consecuencia, no podrán dedicarse a otros fines distintos de los consignados en este Reglamento, ni sufrir deducciones de ninguna especie.</w:t>
      </w:r>
    </w:p>
    <w:p w:rsidR="00AF7B09" w:rsidRDefault="00AF7B09">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43" w:right="3805"/>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V.</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679" w:right="1697"/>
        <w:jc w:val="center"/>
        <w:rPr>
          <w:rFonts w:ascii="Century Gothic" w:hAnsi="Century Gothic" w:cs="Century Gothic"/>
          <w:color w:val="000000"/>
          <w:sz w:val="28"/>
          <w:szCs w:val="28"/>
        </w:rPr>
      </w:pPr>
      <w:r>
        <w:rPr>
          <w:rFonts w:ascii="Century Gothic" w:hAnsi="Century Gothic" w:cs="Century Gothic"/>
          <w:b/>
          <w:bCs/>
          <w:color w:val="000000"/>
          <w:sz w:val="28"/>
          <w:szCs w:val="28"/>
        </w:rPr>
        <w:t>De los Beneficiarios en Caso de Defunción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Artículo  20.-  Los  miembros  de  la  Comisión  Nacional  de  Auxilios están obligados  a entregar a la Comisión, el juego completo de la forma S-CA-I “Carta de Designación de Beneficiarios”, en que se haga constar a quien o quienes designan como tales, así como la distribución del Auxilio, cuando sean varios los beneficiarios.</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21.- La Carta de Designación de Beneficiarios deberá ser enviada por correo certificado o entregada personalmente por cuadruplicado  a  la  Comisión  Nacional  de  Auxilios,  debiendo coincidir exactamente dichos documentos en todas sus partes; en caso contrario, se considerará nula y como consecuencia, no se pagará el Auxilio. Los tantos de dicha carta se distribuirán como sigue: El original quedará en custodia de la Comisión; La primera copia para la Dirección de Administración; la segunda copia para el miembro y la tercera  para el beneficiario.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rPr>
          <w:rFonts w:ascii="Century Gothic" w:hAnsi="Century Gothic" w:cs="Century Gothic"/>
          <w:color w:val="000000"/>
          <w:sz w:val="28"/>
          <w:szCs w:val="28"/>
        </w:rPr>
      </w:pPr>
      <w:r>
        <w:rPr>
          <w:rFonts w:ascii="Century Gothic" w:hAnsi="Century Gothic" w:cs="Century Gothic"/>
          <w:color w:val="000000"/>
          <w:sz w:val="28"/>
          <w:szCs w:val="28"/>
        </w:rPr>
        <w:t>Artículo  22.-   La  Carta  de  Designación  de  Beneficiarios,  deberá contener los siguientes datos y requisitos: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319"/>
        <w:rPr>
          <w:rFonts w:ascii="Century Gothic" w:hAnsi="Century Gothic" w:cs="Century Gothic"/>
          <w:color w:val="000000"/>
          <w:sz w:val="28"/>
          <w:szCs w:val="28"/>
        </w:rPr>
      </w:pPr>
      <w:r>
        <w:rPr>
          <w:rFonts w:ascii="Century Gothic" w:hAnsi="Century Gothic" w:cs="Century Gothic"/>
          <w:color w:val="000000"/>
          <w:sz w:val="28"/>
          <w:szCs w:val="28"/>
        </w:rPr>
        <w:t>I. Lugar y  fecha en que se expide la Carta.</w:t>
      </w:r>
    </w:p>
    <w:p w:rsidR="00AF7B09" w:rsidRDefault="00F50275">
      <w:pPr>
        <w:widowControl w:val="0"/>
        <w:autoSpaceDE w:val="0"/>
        <w:autoSpaceDN w:val="0"/>
        <w:adjustRightInd w:val="0"/>
        <w:spacing w:after="0" w:line="240" w:lineRule="auto"/>
        <w:ind w:left="211" w:right="308"/>
        <w:jc w:val="center"/>
        <w:rPr>
          <w:rFonts w:ascii="Century Gothic" w:hAnsi="Century Gothic" w:cs="Century Gothic"/>
          <w:color w:val="000000"/>
          <w:sz w:val="28"/>
          <w:szCs w:val="28"/>
        </w:rPr>
      </w:pPr>
      <w:r>
        <w:rPr>
          <w:rFonts w:ascii="Century Gothic" w:hAnsi="Century Gothic" w:cs="Century Gothic"/>
          <w:color w:val="000000"/>
          <w:sz w:val="28"/>
          <w:szCs w:val="28"/>
        </w:rPr>
        <w:t>II. Declaración que exprese la voluntad del miembro otorgante</w:t>
      </w:r>
    </w:p>
    <w:p w:rsidR="00AF7B09" w:rsidRDefault="00F50275">
      <w:pPr>
        <w:widowControl w:val="0"/>
        <w:autoSpaceDE w:val="0"/>
        <w:autoSpaceDN w:val="0"/>
        <w:adjustRightInd w:val="0"/>
        <w:spacing w:before="2" w:after="0" w:line="240" w:lineRule="auto"/>
        <w:ind w:left="194" w:right="4810"/>
        <w:jc w:val="both"/>
        <w:rPr>
          <w:rFonts w:ascii="Century Gothic" w:hAnsi="Century Gothic" w:cs="Century Gothic"/>
          <w:color w:val="000000"/>
          <w:sz w:val="28"/>
          <w:szCs w:val="28"/>
        </w:rPr>
      </w:pPr>
      <w:r>
        <w:rPr>
          <w:rFonts w:ascii="Century Gothic" w:hAnsi="Century Gothic" w:cs="Century Gothic"/>
          <w:color w:val="000000"/>
          <w:sz w:val="28"/>
          <w:szCs w:val="28"/>
        </w:rPr>
        <w:t>III. En lo referente al otorgante: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028"/>
        <w:jc w:val="both"/>
        <w:rPr>
          <w:rFonts w:ascii="Century Gothic" w:hAnsi="Century Gothic" w:cs="Century Gothic"/>
          <w:color w:val="000000"/>
          <w:sz w:val="28"/>
          <w:szCs w:val="28"/>
        </w:rPr>
      </w:pPr>
      <w:r>
        <w:rPr>
          <w:rFonts w:ascii="Century Gothic" w:hAnsi="Century Gothic" w:cs="Century Gothic"/>
          <w:color w:val="000000"/>
          <w:sz w:val="28"/>
          <w:szCs w:val="28"/>
        </w:rPr>
        <w:t>1.   Nombre completo.</w:t>
      </w:r>
    </w:p>
    <w:p w:rsidR="00AF7B09" w:rsidRDefault="00F50275">
      <w:pPr>
        <w:widowControl w:val="0"/>
        <w:autoSpaceDE w:val="0"/>
        <w:autoSpaceDN w:val="0"/>
        <w:adjustRightInd w:val="0"/>
        <w:spacing w:after="0" w:line="240" w:lineRule="auto"/>
        <w:ind w:left="100" w:right="5932"/>
        <w:jc w:val="both"/>
        <w:rPr>
          <w:rFonts w:ascii="Century Gothic" w:hAnsi="Century Gothic" w:cs="Century Gothic"/>
          <w:color w:val="000000"/>
          <w:sz w:val="28"/>
          <w:szCs w:val="28"/>
        </w:rPr>
      </w:pPr>
      <w:r>
        <w:rPr>
          <w:rFonts w:ascii="Century Gothic" w:hAnsi="Century Gothic" w:cs="Century Gothic"/>
          <w:color w:val="000000"/>
          <w:sz w:val="28"/>
          <w:szCs w:val="28"/>
        </w:rPr>
        <w:t>2.   Domicilio particular.</w:t>
      </w:r>
    </w:p>
    <w:p w:rsidR="00AF7B09" w:rsidRDefault="00F50275">
      <w:pPr>
        <w:widowControl w:val="0"/>
        <w:autoSpaceDE w:val="0"/>
        <w:autoSpaceDN w:val="0"/>
        <w:adjustRightInd w:val="0"/>
        <w:spacing w:after="0" w:line="240" w:lineRule="auto"/>
        <w:ind w:left="100" w:right="4408"/>
        <w:jc w:val="both"/>
        <w:rPr>
          <w:rFonts w:ascii="Century Gothic" w:hAnsi="Century Gothic" w:cs="Century Gothic"/>
          <w:color w:val="000000"/>
          <w:sz w:val="28"/>
          <w:szCs w:val="28"/>
        </w:rPr>
      </w:pPr>
      <w:r>
        <w:rPr>
          <w:rFonts w:ascii="Century Gothic" w:hAnsi="Century Gothic" w:cs="Century Gothic"/>
          <w:color w:val="000000"/>
          <w:sz w:val="28"/>
          <w:szCs w:val="28"/>
        </w:rPr>
        <w:t>3.   Registro Federal de Causantes.</w:t>
      </w:r>
    </w:p>
    <w:p w:rsidR="00AF7B09" w:rsidRDefault="00F50275">
      <w:pPr>
        <w:widowControl w:val="0"/>
        <w:autoSpaceDE w:val="0"/>
        <w:autoSpaceDN w:val="0"/>
        <w:adjustRightInd w:val="0"/>
        <w:spacing w:after="0" w:line="240" w:lineRule="auto"/>
        <w:ind w:left="100" w:right="5079"/>
        <w:jc w:val="both"/>
        <w:rPr>
          <w:rFonts w:ascii="Century Gothic" w:hAnsi="Century Gothic" w:cs="Century Gothic"/>
          <w:color w:val="000000"/>
          <w:sz w:val="28"/>
          <w:szCs w:val="28"/>
        </w:rPr>
      </w:pPr>
      <w:r>
        <w:rPr>
          <w:rFonts w:ascii="Century Gothic" w:hAnsi="Century Gothic" w:cs="Century Gothic"/>
          <w:color w:val="000000"/>
          <w:sz w:val="28"/>
          <w:szCs w:val="28"/>
        </w:rPr>
        <w:t>4.   Adscripción en el Instituto.</w:t>
      </w:r>
    </w:p>
    <w:p w:rsidR="00AF7B09" w:rsidRDefault="00F50275">
      <w:pPr>
        <w:widowControl w:val="0"/>
        <w:autoSpaceDE w:val="0"/>
        <w:autoSpaceDN w:val="0"/>
        <w:adjustRightInd w:val="0"/>
        <w:spacing w:after="0" w:line="240" w:lineRule="auto"/>
        <w:ind w:left="100" w:right="5956"/>
        <w:jc w:val="both"/>
        <w:rPr>
          <w:rFonts w:ascii="Century Gothic" w:hAnsi="Century Gothic" w:cs="Century Gothic"/>
          <w:color w:val="000000"/>
          <w:sz w:val="28"/>
          <w:szCs w:val="28"/>
        </w:rPr>
      </w:pPr>
      <w:r>
        <w:rPr>
          <w:rFonts w:ascii="Century Gothic" w:hAnsi="Century Gothic" w:cs="Century Gothic"/>
          <w:color w:val="000000"/>
          <w:sz w:val="28"/>
          <w:szCs w:val="28"/>
        </w:rPr>
        <w:t>5.   Clave Presupuestal.</w:t>
      </w:r>
    </w:p>
    <w:p w:rsidR="00AF7B09" w:rsidRDefault="00F50275">
      <w:pPr>
        <w:widowControl w:val="0"/>
        <w:autoSpaceDE w:val="0"/>
        <w:autoSpaceDN w:val="0"/>
        <w:adjustRightInd w:val="0"/>
        <w:spacing w:after="0" w:line="240" w:lineRule="auto"/>
        <w:ind w:left="100" w:right="5491"/>
        <w:jc w:val="both"/>
        <w:rPr>
          <w:rFonts w:ascii="Century Gothic" w:hAnsi="Century Gothic" w:cs="Century Gothic"/>
          <w:color w:val="000000"/>
          <w:sz w:val="28"/>
          <w:szCs w:val="28"/>
        </w:rPr>
      </w:pPr>
      <w:r>
        <w:rPr>
          <w:rFonts w:ascii="Century Gothic" w:hAnsi="Century Gothic" w:cs="Century Gothic"/>
          <w:color w:val="000000"/>
          <w:sz w:val="28"/>
          <w:szCs w:val="28"/>
        </w:rPr>
        <w:t>6.   Número de empleado.</w:t>
      </w:r>
    </w:p>
    <w:p w:rsidR="00AF7B09" w:rsidRDefault="00F50275">
      <w:pPr>
        <w:widowControl w:val="0"/>
        <w:autoSpaceDE w:val="0"/>
        <w:autoSpaceDN w:val="0"/>
        <w:adjustRightInd w:val="0"/>
        <w:spacing w:after="0" w:line="240" w:lineRule="auto"/>
        <w:ind w:left="100" w:right="5261"/>
        <w:jc w:val="both"/>
        <w:rPr>
          <w:rFonts w:ascii="Century Gothic" w:hAnsi="Century Gothic" w:cs="Century Gothic"/>
          <w:color w:val="000000"/>
          <w:sz w:val="28"/>
          <w:szCs w:val="28"/>
        </w:rPr>
      </w:pPr>
      <w:r>
        <w:rPr>
          <w:rFonts w:ascii="Century Gothic" w:hAnsi="Century Gothic" w:cs="Century Gothic"/>
          <w:color w:val="000000"/>
          <w:sz w:val="28"/>
          <w:szCs w:val="28"/>
        </w:rPr>
        <w:t>7.   Firma y/o huella dactilar.</w:t>
      </w:r>
    </w:p>
    <w:p w:rsidR="00AF7B09" w:rsidRDefault="00AF7B09">
      <w:pPr>
        <w:widowControl w:val="0"/>
        <w:autoSpaceDE w:val="0"/>
        <w:autoSpaceDN w:val="0"/>
        <w:adjustRightInd w:val="0"/>
        <w:spacing w:after="0" w:line="240" w:lineRule="auto"/>
        <w:ind w:left="100" w:right="5261"/>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119"/>
        <w:rPr>
          <w:rFonts w:ascii="Century Gothic" w:hAnsi="Century Gothic" w:cs="Century Gothic"/>
          <w:color w:val="000000"/>
          <w:sz w:val="28"/>
          <w:szCs w:val="28"/>
        </w:rPr>
      </w:pPr>
      <w:r>
        <w:rPr>
          <w:rFonts w:ascii="Century Gothic" w:hAnsi="Century Gothic" w:cs="Century Gothic"/>
          <w:color w:val="000000"/>
          <w:sz w:val="28"/>
          <w:szCs w:val="28"/>
        </w:rPr>
        <w:t>I.     En lo referente a los beneficiarios:</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6028"/>
        <w:jc w:val="both"/>
        <w:rPr>
          <w:rFonts w:ascii="Century Gothic" w:hAnsi="Century Gothic" w:cs="Century Gothic"/>
          <w:color w:val="000000"/>
          <w:sz w:val="28"/>
          <w:szCs w:val="28"/>
        </w:rPr>
      </w:pPr>
      <w:r>
        <w:rPr>
          <w:rFonts w:ascii="Century Gothic" w:hAnsi="Century Gothic" w:cs="Century Gothic"/>
          <w:color w:val="000000"/>
          <w:sz w:val="28"/>
          <w:szCs w:val="28"/>
        </w:rPr>
        <w:t>1.   Nombre completo.</w:t>
      </w:r>
    </w:p>
    <w:p w:rsidR="00AF7B09" w:rsidRDefault="00F50275">
      <w:pPr>
        <w:widowControl w:val="0"/>
        <w:autoSpaceDE w:val="0"/>
        <w:autoSpaceDN w:val="0"/>
        <w:adjustRightInd w:val="0"/>
        <w:spacing w:after="0" w:line="240" w:lineRule="auto"/>
        <w:ind w:left="260" w:right="7825"/>
        <w:jc w:val="both"/>
        <w:rPr>
          <w:rFonts w:ascii="Century Gothic" w:hAnsi="Century Gothic" w:cs="Century Gothic"/>
          <w:color w:val="000000"/>
          <w:sz w:val="28"/>
          <w:szCs w:val="28"/>
        </w:rPr>
      </w:pPr>
      <w:r>
        <w:rPr>
          <w:rFonts w:ascii="Century Gothic" w:hAnsi="Century Gothic" w:cs="Century Gothic"/>
          <w:color w:val="000000"/>
          <w:sz w:val="28"/>
          <w:szCs w:val="28"/>
        </w:rPr>
        <w:t>2.   Edad.</w:t>
      </w:r>
    </w:p>
    <w:p w:rsidR="00AF7B09" w:rsidRDefault="00F50275">
      <w:pPr>
        <w:widowControl w:val="0"/>
        <w:autoSpaceDE w:val="0"/>
        <w:autoSpaceDN w:val="0"/>
        <w:adjustRightInd w:val="0"/>
        <w:spacing w:after="0" w:line="240" w:lineRule="auto"/>
        <w:ind w:left="260" w:right="7007"/>
        <w:jc w:val="both"/>
        <w:rPr>
          <w:rFonts w:ascii="Century Gothic" w:hAnsi="Century Gothic" w:cs="Century Gothic"/>
          <w:color w:val="000000"/>
          <w:sz w:val="28"/>
          <w:szCs w:val="28"/>
        </w:rPr>
      </w:pPr>
      <w:r>
        <w:rPr>
          <w:rFonts w:ascii="Century Gothic" w:hAnsi="Century Gothic" w:cs="Century Gothic"/>
          <w:color w:val="000000"/>
          <w:sz w:val="28"/>
          <w:szCs w:val="28"/>
        </w:rPr>
        <w:t>3.   Parentesco.</w:t>
      </w:r>
    </w:p>
    <w:p w:rsidR="00AF7B09" w:rsidRDefault="00F50275">
      <w:pPr>
        <w:widowControl w:val="0"/>
        <w:autoSpaceDE w:val="0"/>
        <w:autoSpaceDN w:val="0"/>
        <w:adjustRightInd w:val="0"/>
        <w:spacing w:after="0" w:line="240" w:lineRule="auto"/>
        <w:ind w:left="260" w:right="3722"/>
        <w:jc w:val="both"/>
        <w:rPr>
          <w:rFonts w:ascii="Century Gothic" w:hAnsi="Century Gothic" w:cs="Century Gothic"/>
          <w:color w:val="000000"/>
          <w:sz w:val="28"/>
          <w:szCs w:val="28"/>
        </w:rPr>
      </w:pPr>
      <w:r>
        <w:rPr>
          <w:rFonts w:ascii="Century Gothic" w:hAnsi="Century Gothic" w:cs="Century Gothic"/>
          <w:color w:val="000000"/>
          <w:sz w:val="28"/>
          <w:szCs w:val="28"/>
        </w:rPr>
        <w:t>4.   Distribución del Porcentaje a pagar.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69"/>
        <w:jc w:val="both"/>
        <w:rPr>
          <w:rFonts w:ascii="Century Gothic" w:hAnsi="Century Gothic" w:cs="Century Gothic"/>
          <w:color w:val="000000"/>
          <w:sz w:val="28"/>
          <w:szCs w:val="28"/>
        </w:rPr>
      </w:pPr>
      <w:r>
        <w:rPr>
          <w:rFonts w:ascii="Century Gothic" w:hAnsi="Century Gothic" w:cs="Century Gothic"/>
          <w:color w:val="000000"/>
          <w:sz w:val="28"/>
          <w:szCs w:val="28"/>
        </w:rPr>
        <w:t>En  caso  de  que  el  Auxilio  sea  a  favor  de  menores  de  edad  o incapacitados, deberá  designarse en  la  “Carta  de Designación de Beneficiarios” a la persona o personas que a nombre de ellos reciban el Auxilio, consignando los mismos datos antes indicados.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71"/>
        <w:jc w:val="both"/>
        <w:rPr>
          <w:rFonts w:ascii="Century Gothic" w:hAnsi="Century Gothic" w:cs="Century Gothic"/>
          <w:color w:val="000000"/>
          <w:sz w:val="28"/>
          <w:szCs w:val="28"/>
        </w:rPr>
      </w:pPr>
      <w:r>
        <w:rPr>
          <w:rFonts w:ascii="Century Gothic" w:hAnsi="Century Gothic" w:cs="Century Gothic"/>
          <w:color w:val="000000"/>
          <w:sz w:val="28"/>
          <w:szCs w:val="28"/>
        </w:rPr>
        <w:t>Artículo 23.- La voluntad del otorgante puede ser modificada por él  en  cualquier  momento,  en  este  caso  el  miembro  deberá entregar  en  la  Comisión  la  nueva  “Carta  de  Designación  de Beneficiaros”, cabe señalar que la de fecha posterior será la que tenga validez.</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76"/>
        <w:jc w:val="both"/>
        <w:rPr>
          <w:rFonts w:ascii="Century Gothic" w:hAnsi="Century Gothic" w:cs="Century Gothic"/>
          <w:color w:val="000000"/>
          <w:sz w:val="28"/>
          <w:szCs w:val="28"/>
        </w:rPr>
      </w:pPr>
      <w:r>
        <w:rPr>
          <w:rFonts w:ascii="Century Gothic" w:hAnsi="Century Gothic" w:cs="Century Gothic"/>
          <w:color w:val="000000"/>
          <w:sz w:val="28"/>
          <w:szCs w:val="28"/>
        </w:rPr>
        <w:t>Artículo  24.-  A  falta  expresa  de  designación  de  beneficiarios,  el</w:t>
      </w:r>
    </w:p>
    <w:p w:rsidR="00AF7B09" w:rsidRDefault="00F50275">
      <w:pPr>
        <w:widowControl w:val="0"/>
        <w:autoSpaceDE w:val="0"/>
        <w:autoSpaceDN w:val="0"/>
        <w:adjustRightInd w:val="0"/>
        <w:spacing w:after="0" w:line="240" w:lineRule="auto"/>
        <w:ind w:left="260" w:right="410"/>
        <w:jc w:val="both"/>
        <w:rPr>
          <w:rFonts w:ascii="Century Gothic" w:hAnsi="Century Gothic" w:cs="Century Gothic"/>
          <w:color w:val="000000"/>
          <w:sz w:val="28"/>
          <w:szCs w:val="28"/>
        </w:rPr>
      </w:pPr>
      <w:r>
        <w:rPr>
          <w:rFonts w:ascii="Century Gothic" w:hAnsi="Century Gothic" w:cs="Century Gothic"/>
          <w:color w:val="000000"/>
          <w:sz w:val="28"/>
          <w:szCs w:val="28"/>
        </w:rPr>
        <w:t>“Auxilio por Defunción”,  será pagado a las siguientes personas: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71"/>
        <w:jc w:val="both"/>
        <w:rPr>
          <w:rFonts w:ascii="Century Gothic" w:hAnsi="Century Gothic" w:cs="Century Gothic"/>
          <w:color w:val="000000"/>
          <w:sz w:val="28"/>
          <w:szCs w:val="28"/>
        </w:rPr>
      </w:pPr>
      <w:r>
        <w:rPr>
          <w:rFonts w:ascii="Century Gothic" w:hAnsi="Century Gothic" w:cs="Century Gothic"/>
          <w:color w:val="000000"/>
          <w:sz w:val="28"/>
          <w:szCs w:val="28"/>
        </w:rPr>
        <w:t>a)  Al  cónyuge  supérstite  e  hijos,  ya  sean  legítimos,  naturales reconocidos o adoptivos.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66"/>
        <w:jc w:val="both"/>
        <w:rPr>
          <w:rFonts w:ascii="Century Gothic" w:hAnsi="Century Gothic" w:cs="Century Gothic"/>
          <w:color w:val="000000"/>
          <w:sz w:val="28"/>
          <w:szCs w:val="28"/>
        </w:rPr>
      </w:pPr>
      <w:r>
        <w:rPr>
          <w:rFonts w:ascii="Century Gothic" w:hAnsi="Century Gothic" w:cs="Century Gothic"/>
          <w:color w:val="000000"/>
          <w:sz w:val="28"/>
          <w:szCs w:val="28"/>
        </w:rPr>
        <w:t>b)  A falta de cónyuge legítimos, al concubinario o concubina, ya sea que hubiere vivido en su compañía durante los dos años que precedieron  a  su  muerte  o  tenido  hijos  con  ella  el  trabajador  y ambos    hayan    estado    libres    de    matrimonio    durante    el concubinato.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260" w:right="74"/>
        <w:jc w:val="both"/>
        <w:rPr>
          <w:rFonts w:ascii="Century Gothic" w:hAnsi="Century Gothic" w:cs="Century Gothic"/>
          <w:color w:val="000000"/>
          <w:sz w:val="28"/>
          <w:szCs w:val="28"/>
        </w:rPr>
      </w:pPr>
      <w:r>
        <w:rPr>
          <w:rFonts w:ascii="Century Gothic" w:hAnsi="Century Gothic" w:cs="Century Gothic"/>
          <w:color w:val="000000"/>
          <w:sz w:val="28"/>
          <w:szCs w:val="28"/>
        </w:rPr>
        <w:t>c)  A  falta  de  cónyuge,  hijos  o  concubinario  (a),  el  auxilio  se entregará a los ascendentes (padres).</w:t>
      </w:r>
    </w:p>
    <w:p w:rsidR="00AF7B09" w:rsidRDefault="00AF7B09">
      <w:pPr>
        <w:widowControl w:val="0"/>
        <w:autoSpaceDE w:val="0"/>
        <w:autoSpaceDN w:val="0"/>
        <w:adjustRightInd w:val="0"/>
        <w:spacing w:after="0" w:line="240" w:lineRule="auto"/>
        <w:ind w:left="260" w:right="74"/>
        <w:jc w:val="both"/>
        <w:rPr>
          <w:rFonts w:ascii="Century Gothic" w:hAnsi="Century Gothic" w:cs="Century Gothic"/>
          <w:color w:val="000000"/>
          <w:sz w:val="28"/>
          <w:szCs w:val="28"/>
        </w:rPr>
        <w:sectPr w:rsidR="00AF7B09">
          <w:pgSz w:w="12240" w:h="15840"/>
          <w:pgMar w:top="1480" w:right="1580" w:bottom="280" w:left="1300" w:header="0" w:footer="1003" w:gutter="0"/>
          <w:cols w:space="720" w:equalWidth="0">
            <w:col w:w="9360"/>
          </w:cols>
          <w:noEndnote/>
        </w:sectPr>
      </w:pPr>
    </w:p>
    <w:p w:rsidR="00AF7B09" w:rsidRDefault="00F50275">
      <w:pPr>
        <w:widowControl w:val="0"/>
        <w:autoSpaceDE w:val="0"/>
        <w:autoSpaceDN w:val="0"/>
        <w:adjustRightInd w:val="0"/>
        <w:spacing w:before="40"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d)  En   caso   de   no   existir   ninguna   de   las   personas   antes mencionadas o quienes se consideren con el derecho, el auxilio se  pagará  por  partes  iguales  a  las  personas  que  judicialmente sean    declaradas    herederas    del    miembro    incapacitado    o fallecido.</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La cantidad total del  Auxilio, se dividirá por partes iguales entre ellos.   El   parentesco   de   los   miembros   y   sus   beneficiarios,   se acreditarán ante la Comisión Nacional de Auxilios y el Instituto en los términos de la legislación civil.</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Los  preceptos  de  este  Artículo  se  aplicarán  en  los  Auxilios  por Incapacidad Total y Permanente e Invalidez, sólo si el miembro no pudiere valerse por sí mismo.</w:t>
      </w:r>
    </w:p>
    <w:p w:rsidR="00AF7B09" w:rsidRDefault="00AF7B09">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sectPr w:rsidR="00AF7B09">
          <w:pgSz w:w="12240" w:h="15840"/>
          <w:pgMar w:top="1380" w:right="1580" w:bottom="280" w:left="1460" w:header="0" w:footer="1003" w:gutter="0"/>
          <w:cols w:space="720" w:equalWidth="0">
            <w:col w:w="9200"/>
          </w:cols>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05" w:right="3764"/>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VI.</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65" w:right="185"/>
        <w:jc w:val="center"/>
        <w:rPr>
          <w:rFonts w:ascii="Century Gothic" w:hAnsi="Century Gothic" w:cs="Century Gothic"/>
          <w:color w:val="000000"/>
          <w:sz w:val="28"/>
          <w:szCs w:val="28"/>
        </w:rPr>
      </w:pPr>
      <w:r>
        <w:rPr>
          <w:rFonts w:ascii="Century Gothic" w:hAnsi="Century Gothic" w:cs="Century Gothic"/>
          <w:b/>
          <w:bCs/>
          <w:color w:val="000000"/>
          <w:sz w:val="28"/>
          <w:szCs w:val="28"/>
        </w:rPr>
        <w:t>Del Auxilio por Separación, Cómputo de Antigüedad y Licencias</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25.-   El  Auxilio  por  Separación,  estará  integrado  por  las aportaciones de los miembros y  del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7"/>
        <w:jc w:val="both"/>
        <w:rPr>
          <w:rFonts w:ascii="Century Gothic" w:hAnsi="Century Gothic" w:cs="Century Gothic"/>
          <w:color w:val="000000"/>
          <w:sz w:val="28"/>
          <w:szCs w:val="28"/>
        </w:rPr>
      </w:pPr>
      <w:r>
        <w:rPr>
          <w:rFonts w:ascii="Century Gothic" w:hAnsi="Century Gothic" w:cs="Century Gothic"/>
          <w:color w:val="000000"/>
          <w:sz w:val="28"/>
          <w:szCs w:val="28"/>
        </w:rPr>
        <w:t>Su  monto  podrá  ser  modificado  conforme  a  lo  dispuesto  por  el</w:t>
      </w:r>
    </w:p>
    <w:p w:rsidR="00AF7B09" w:rsidRDefault="00F50275">
      <w:pPr>
        <w:widowControl w:val="0"/>
        <w:autoSpaceDE w:val="0"/>
        <w:autoSpaceDN w:val="0"/>
        <w:adjustRightInd w:val="0"/>
        <w:spacing w:after="0" w:line="240" w:lineRule="auto"/>
        <w:ind w:left="100" w:right="4702"/>
        <w:jc w:val="both"/>
        <w:rPr>
          <w:rFonts w:ascii="Century Gothic" w:hAnsi="Century Gothic" w:cs="Century Gothic"/>
          <w:color w:val="000000"/>
          <w:sz w:val="28"/>
          <w:szCs w:val="28"/>
        </w:rPr>
      </w:pPr>
      <w:r>
        <w:rPr>
          <w:rFonts w:ascii="Century Gothic" w:hAnsi="Century Gothic" w:cs="Century Gothic"/>
          <w:color w:val="000000"/>
          <w:sz w:val="28"/>
          <w:szCs w:val="28"/>
        </w:rPr>
        <w:t>Artículo 11 de este Reglamento.</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Artículo 26.-  El Auxilio por Separación se otorgará a los miembros conforme a la Tabla de Auxilio en vigor a la fecha en que cumpla con  las  condiciones  impuestas  en  este  Reglamento  y  que    se actualice  por  Acuerdo  de  la  H.  Junta  Directiva  del  Instituto,   la Directiva de la Comisión y el Presidente del Sindicato.  Dicho pago se aplicará sin deducciones por adeudo que haya contraído el miembro con el propio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27.-   Los   Auxilios   por   Separación   se   otorgarán   a   los miembros que hubiesen aportado sus cuotas durante cinco años o más a la Comisión.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Artículo  28.-  Cuando  el  miembro  se  separe  o  sea  separado  del servicio antes de tener cubiertos los cinco años de aportación de cuotas a la Comisión, no tendrá derecho al Auxilio por retiro ni a la devolución de sus cuotas.</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Artículo 29.- El pago del Auxilio por Retiro de un miembro separado del  servicio  a  causa  de  algún  delito  contra  el  Patrimonio  del Instituto,  del  Sindicato  o  de  la  Comisión  Nacional  de  Auxilios, quedará en suspenso hasta el fallo de los Tribunales competentes y éste cause ejecutoria.</w:t>
      </w:r>
    </w:p>
    <w:p w:rsidR="00AF7B09" w:rsidRDefault="00AF7B09">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Si  la  sentencia  resulta  condenatoria,  perderá  todo  derecho  al pago del Auxilio que concede el Instituto, pero tendrá derecho al pago que le corresponde de la aportación de los miembros.  Si el delito  se  cometiera  en  contra  del  Sindicato  o  de  la  Comisión Nacional de Auxilios, en los términos del párrafo anterior, perderá el derecho al pago del Auxilio que corresponde a la aportación de  los  trabajadores,  pudiendo  percibir  el  pago  del  Auxilio  que otorga 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5"/>
        <w:jc w:val="both"/>
        <w:rPr>
          <w:rFonts w:ascii="Century Gothic" w:hAnsi="Century Gothic" w:cs="Century Gothic"/>
          <w:color w:val="000000"/>
          <w:sz w:val="28"/>
          <w:szCs w:val="28"/>
        </w:rPr>
      </w:pPr>
      <w:r>
        <w:rPr>
          <w:rFonts w:ascii="Century Gothic" w:hAnsi="Century Gothic" w:cs="Century Gothic"/>
          <w:color w:val="000000"/>
          <w:sz w:val="28"/>
          <w:szCs w:val="28"/>
        </w:rPr>
        <w:t>Artículo 30.- El Auxilio por Retiro de los miembros que contribuyeron al Fondo   la Comisión Nacional de Auxilios durante cinco años o más, recibirán el Auxilio que se señala en la Tabla de Auxilio en vigor  que  anualmente  se  actualiza  por  Acuerdo  de  la  H.  Junta Directiva del Instituto, según el tiempo de aportar como miembro de la Comisión Nacional de Auxilios.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Artículo 31.- En caso de que un miembro sea suspendido o cesado de  su  empleo  en  el  Instituto  y  por  Laudo  o  Sentencia  de  los Tribunales   competentes   se   ordene   la   reinstalación,   le   será computado el tiempo que haya estado fuera del servicio siempre que pague el importe de las cuotas que no haya cubierto.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Esta disposición se aplicará también cuando la reinstalación sea debida a Convenio celebrado entre el miembro y 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Artículo 32.- Salvo el caso de los miembros reingresados al servicio del Instituto, previsto por este Reglamento el pago de los Auxilios por Incapacidad, Invalidez o Retiro, libera a la Comisión Nacional de Auxilios de toda clase de obligaciones con los beneficiaros.</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4"/>
        <w:jc w:val="both"/>
        <w:rPr>
          <w:rFonts w:ascii="Century Gothic" w:hAnsi="Century Gothic" w:cs="Century Gothic"/>
          <w:color w:val="000000"/>
          <w:sz w:val="28"/>
          <w:szCs w:val="28"/>
        </w:rPr>
      </w:pPr>
      <w:r>
        <w:rPr>
          <w:rFonts w:ascii="Century Gothic" w:hAnsi="Century Gothic" w:cs="Century Gothic"/>
          <w:color w:val="000000"/>
          <w:sz w:val="28"/>
          <w:szCs w:val="28"/>
        </w:rPr>
        <w:t>Artículo  33.-  En  caso  de  reingreso  al  servicio  se  observará  lo siguiente: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a)  Si  un  miembro  se  separa  del  servicio  del  Instituto  sin  tener todavía derecho a percibir alguno de los Auxilios previstos en este Reglamento y reingresa posteriormente, se le computará el tiempo que contribuyó al fondo de la comisión con anterioridad.</w:t>
      </w:r>
    </w:p>
    <w:p w:rsidR="00AF7B09" w:rsidRDefault="00AF7B09" w:rsidP="004B281D">
      <w:pPr>
        <w:widowControl w:val="0"/>
        <w:autoSpaceDE w:val="0"/>
        <w:autoSpaceDN w:val="0"/>
        <w:adjustRightInd w:val="0"/>
        <w:spacing w:after="0" w:line="240" w:lineRule="auto"/>
        <w:ind w:right="71"/>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F50275">
      <w:pPr>
        <w:widowControl w:val="0"/>
        <w:autoSpaceDE w:val="0"/>
        <w:autoSpaceDN w:val="0"/>
        <w:adjustRightInd w:val="0"/>
        <w:spacing w:before="8"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b)  Si  un  miembro  se  separa  del  servicio  del  Instituto  habiendo cobrado   el   Auxilio   por   Separación   y   reingresa,   su   nueva antigüedad  contará  a  partir  de  la  fecha  de  su  reingreso  y  su contribución  al  fondo  de  la  Comisión  y  por  excepción  podrá otorgársele nuevamente el Auxilio que corresponda.</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Artículo 34.- Las licencias sin goce de sueldo por enfermedad se computarán  siempre  que  las  aportaciones  quincenales  sean pagadas;  las  concedidas  por  asuntos  particulares  sin  goce  de sueldo serán computables, por un lapso que no exceda de seis meses por una sola vez, llenando igual requisito en cuanto a las aportaciones.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Artículo 35.- Las licencias concedidas sin goce de sueldo para el desempeño de cargos de elección popular o sindical, o por haber sido  promovido  el  miembro  al  ejercicio  de  otra  comisión  en dependencia  diferente  al  Instituto,  serán  computables  por  un lapso que no exceda de seis meses por una sola vez y siempre que las aportaciones quincenales sean pagadas.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Artículo 36.- Si al separarse del servicio un miembro de la Comisión tiene  adeudos  de  cuotas  quincenales  acumuladas  debido  a licencias  sin  goce  de  sueldo  por:    asuntos  particulares  para  el desempeño de cargos de elección popular, comisión sindical o por   haber   sido   promovido   al   ejercicio   de   otra   comisión   en dependencia diferente al Instituto, para efectos de los  Auxilios por Separación   le   será   computable   únicamente   el   tiempo   de aportación normal al fondo de la Comisión y hasta por un lapso que no exceda de seis meses, por cualquier tipo de licencias sin goce de sueldo, siempre y cuando este periodo sea pagado antes de causar baja.</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Artículo 37.- Si un miembro en servicio tiene adeudos por cuotas quincenales  acumuladas  que  no  se  exceda  de  un  año,  por motivos independientes a los Artículos 34 y 35, tendrán derecho a pagar estas cuotas antes de causar baja del Instituto.</w:t>
      </w:r>
    </w:p>
    <w:p w:rsidR="00AF7B09" w:rsidRDefault="00AF7B09">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Artículo 38.- Cuando un miembro sea suspendido en el pago de su sueldo o por cualquier causa no le sea efectuado el descuento, deberá  pagar  por  caja  las  cuotas  de  la  Comisión  Nacional  de Auxilios. Si después de la suspensión causa baja, se le pagará el Auxilio por Retiro si tiene derecho a él.</w:t>
      </w:r>
    </w:p>
    <w:p w:rsidR="00AF7B09" w:rsidRDefault="00AF7B09">
      <w:pPr>
        <w:widowControl w:val="0"/>
        <w:autoSpaceDE w:val="0"/>
        <w:autoSpaceDN w:val="0"/>
        <w:adjustRightInd w:val="0"/>
        <w:spacing w:before="8" w:after="0" w:line="240" w:lineRule="auto"/>
        <w:ind w:left="100" w:right="71"/>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564" w:right="3725"/>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VII.</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782" w:right="803"/>
        <w:jc w:val="center"/>
        <w:rPr>
          <w:rFonts w:ascii="Century Gothic" w:hAnsi="Century Gothic" w:cs="Century Gothic"/>
          <w:color w:val="000000"/>
          <w:sz w:val="28"/>
          <w:szCs w:val="28"/>
        </w:rPr>
      </w:pPr>
      <w:r>
        <w:rPr>
          <w:rFonts w:ascii="Century Gothic" w:hAnsi="Century Gothic" w:cs="Century Gothic"/>
          <w:b/>
          <w:bCs/>
          <w:color w:val="000000"/>
          <w:sz w:val="28"/>
          <w:szCs w:val="28"/>
        </w:rPr>
        <w:t>Del Procedimiento para Obtener el Pago de los Auxilios</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39.-  Para  obtener  el  pago  del  Auxilio  por  Defunción,  el beneficiario o beneficiarios señalados en el “Carta de Designación de Beneficiarios” o la persona que demuestre tener el derecho a este, deberán presentar por duplicado:</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1752"/>
        <w:jc w:val="both"/>
        <w:rPr>
          <w:rFonts w:ascii="Century Gothic" w:hAnsi="Century Gothic" w:cs="Century Gothic"/>
          <w:color w:val="000000"/>
          <w:sz w:val="28"/>
          <w:szCs w:val="28"/>
        </w:rPr>
      </w:pPr>
      <w:r>
        <w:rPr>
          <w:rFonts w:ascii="Century Gothic" w:hAnsi="Century Gothic" w:cs="Century Gothic"/>
          <w:color w:val="000000"/>
          <w:sz w:val="28"/>
          <w:szCs w:val="28"/>
        </w:rPr>
        <w:t>1.   Solicitud  (se elabora en la oficina de la Comisión).</w:t>
      </w:r>
    </w:p>
    <w:p w:rsidR="00AF7B09" w:rsidRDefault="00F50275">
      <w:pPr>
        <w:widowControl w:val="0"/>
        <w:autoSpaceDE w:val="0"/>
        <w:autoSpaceDN w:val="0"/>
        <w:adjustRightInd w:val="0"/>
        <w:spacing w:after="0" w:line="240" w:lineRule="auto"/>
        <w:ind w:left="100" w:right="5393"/>
        <w:jc w:val="both"/>
        <w:rPr>
          <w:rFonts w:ascii="Century Gothic" w:hAnsi="Century Gothic" w:cs="Century Gothic"/>
          <w:color w:val="000000"/>
          <w:sz w:val="28"/>
          <w:szCs w:val="28"/>
        </w:rPr>
      </w:pPr>
      <w:r>
        <w:rPr>
          <w:rFonts w:ascii="Century Gothic" w:hAnsi="Century Gothic" w:cs="Century Gothic"/>
          <w:color w:val="000000"/>
          <w:sz w:val="28"/>
          <w:szCs w:val="28"/>
        </w:rPr>
        <w:t>2.   Hoja Única de Servicios.</w:t>
      </w:r>
    </w:p>
    <w:p w:rsidR="00AF7B09" w:rsidRDefault="00F50275">
      <w:pPr>
        <w:widowControl w:val="0"/>
        <w:autoSpaceDE w:val="0"/>
        <w:autoSpaceDN w:val="0"/>
        <w:adjustRightInd w:val="0"/>
        <w:spacing w:after="0" w:line="240" w:lineRule="auto"/>
        <w:ind w:left="100" w:right="7000"/>
        <w:jc w:val="both"/>
        <w:rPr>
          <w:rFonts w:ascii="Century Gothic" w:hAnsi="Century Gothic" w:cs="Century Gothic"/>
          <w:color w:val="000000"/>
          <w:sz w:val="28"/>
          <w:szCs w:val="28"/>
        </w:rPr>
      </w:pPr>
      <w:r>
        <w:rPr>
          <w:rFonts w:ascii="Century Gothic" w:hAnsi="Century Gothic" w:cs="Century Gothic"/>
          <w:color w:val="000000"/>
          <w:sz w:val="28"/>
          <w:szCs w:val="28"/>
        </w:rPr>
        <w:t>3.   Baja Oficial.</w:t>
      </w: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4.   Original y copia legible del Recibo de Pago  y/o Constancia de</w:t>
      </w:r>
    </w:p>
    <w:p w:rsidR="00AF7B09" w:rsidRDefault="00F50275">
      <w:pPr>
        <w:widowControl w:val="0"/>
        <w:autoSpaceDE w:val="0"/>
        <w:autoSpaceDN w:val="0"/>
        <w:adjustRightInd w:val="0"/>
        <w:spacing w:after="0" w:line="240" w:lineRule="auto"/>
        <w:ind w:left="100" w:right="3170"/>
        <w:jc w:val="both"/>
        <w:rPr>
          <w:rFonts w:ascii="Century Gothic" w:hAnsi="Century Gothic" w:cs="Century Gothic"/>
          <w:color w:val="000000"/>
          <w:sz w:val="28"/>
          <w:szCs w:val="28"/>
        </w:rPr>
      </w:pPr>
      <w:r>
        <w:rPr>
          <w:rFonts w:ascii="Century Gothic" w:hAnsi="Century Gothic" w:cs="Century Gothic"/>
          <w:color w:val="000000"/>
          <w:sz w:val="28"/>
          <w:szCs w:val="28"/>
        </w:rPr>
        <w:t>Percepciones y Deducciones actualizadas.</w:t>
      </w:r>
    </w:p>
    <w:p w:rsidR="00AF7B09" w:rsidRDefault="00F50275">
      <w:pPr>
        <w:widowControl w:val="0"/>
        <w:autoSpaceDE w:val="0"/>
        <w:autoSpaceDN w:val="0"/>
        <w:adjustRightInd w:val="0"/>
        <w:spacing w:after="0" w:line="240" w:lineRule="auto"/>
        <w:ind w:left="100" w:right="941"/>
        <w:jc w:val="both"/>
        <w:rPr>
          <w:rFonts w:ascii="Century Gothic" w:hAnsi="Century Gothic" w:cs="Century Gothic"/>
          <w:color w:val="000000"/>
          <w:sz w:val="28"/>
          <w:szCs w:val="28"/>
        </w:rPr>
      </w:pPr>
      <w:r>
        <w:rPr>
          <w:rFonts w:ascii="Century Gothic" w:hAnsi="Century Gothic" w:cs="Century Gothic"/>
          <w:color w:val="000000"/>
          <w:sz w:val="28"/>
          <w:szCs w:val="28"/>
        </w:rPr>
        <w:t>5.   Original y copia legible de la Credencial de Elector (IFE).</w:t>
      </w:r>
    </w:p>
    <w:p w:rsidR="00AF7B09" w:rsidRDefault="00F50275">
      <w:pPr>
        <w:widowControl w:val="0"/>
        <w:autoSpaceDE w:val="0"/>
        <w:autoSpaceDN w:val="0"/>
        <w:adjustRightInd w:val="0"/>
        <w:spacing w:after="0" w:line="240" w:lineRule="auto"/>
        <w:ind w:left="100" w:right="3308"/>
        <w:jc w:val="both"/>
        <w:rPr>
          <w:rFonts w:ascii="Century Gothic" w:hAnsi="Century Gothic" w:cs="Century Gothic"/>
          <w:color w:val="000000"/>
          <w:sz w:val="28"/>
          <w:szCs w:val="28"/>
        </w:rPr>
      </w:pPr>
      <w:r>
        <w:rPr>
          <w:rFonts w:ascii="Century Gothic" w:hAnsi="Century Gothic" w:cs="Century Gothic"/>
          <w:color w:val="000000"/>
          <w:sz w:val="28"/>
          <w:szCs w:val="28"/>
        </w:rPr>
        <w:t>6.   Carta de Designación de Beneficiarios.</w:t>
      </w:r>
    </w:p>
    <w:p w:rsidR="00AF7B09" w:rsidRDefault="00F50275">
      <w:pPr>
        <w:widowControl w:val="0"/>
        <w:autoSpaceDE w:val="0"/>
        <w:autoSpaceDN w:val="0"/>
        <w:adjustRightInd w:val="0"/>
        <w:spacing w:after="0" w:line="240" w:lineRule="auto"/>
        <w:ind w:left="100" w:right="4306"/>
        <w:jc w:val="both"/>
        <w:rPr>
          <w:rFonts w:ascii="Century Gothic" w:hAnsi="Century Gothic" w:cs="Century Gothic"/>
          <w:color w:val="000000"/>
          <w:sz w:val="28"/>
          <w:szCs w:val="28"/>
        </w:rPr>
      </w:pPr>
      <w:r>
        <w:rPr>
          <w:rFonts w:ascii="Century Gothic" w:hAnsi="Century Gothic" w:cs="Century Gothic"/>
          <w:color w:val="000000"/>
          <w:sz w:val="28"/>
          <w:szCs w:val="28"/>
        </w:rPr>
        <w:t>7.   Original del Acta de Defunción.</w:t>
      </w:r>
    </w:p>
    <w:p w:rsidR="00AF7B09" w:rsidRDefault="00F50275">
      <w:pPr>
        <w:widowControl w:val="0"/>
        <w:autoSpaceDE w:val="0"/>
        <w:autoSpaceDN w:val="0"/>
        <w:adjustRightInd w:val="0"/>
        <w:spacing w:after="0" w:line="240" w:lineRule="auto"/>
        <w:ind w:left="100" w:right="581"/>
        <w:jc w:val="both"/>
        <w:rPr>
          <w:rFonts w:ascii="Century Gothic" w:hAnsi="Century Gothic" w:cs="Century Gothic"/>
          <w:color w:val="000000"/>
          <w:sz w:val="28"/>
          <w:szCs w:val="28"/>
        </w:rPr>
      </w:pPr>
      <w:r>
        <w:rPr>
          <w:rFonts w:ascii="Century Gothic" w:hAnsi="Century Gothic" w:cs="Century Gothic"/>
          <w:color w:val="000000"/>
          <w:sz w:val="28"/>
          <w:szCs w:val="28"/>
        </w:rPr>
        <w:t>8.   Original del Acta de Nacimiento de quien solicite el Auxilio.</w:t>
      </w:r>
    </w:p>
    <w:p w:rsidR="00AF7B09" w:rsidRDefault="00F50275">
      <w:pPr>
        <w:widowControl w:val="0"/>
        <w:autoSpaceDE w:val="0"/>
        <w:autoSpaceDN w:val="0"/>
        <w:adjustRightInd w:val="0"/>
        <w:spacing w:after="0" w:line="240" w:lineRule="auto"/>
        <w:ind w:left="100" w:right="76"/>
        <w:rPr>
          <w:rFonts w:ascii="Century Gothic" w:hAnsi="Century Gothic" w:cs="Century Gothic"/>
          <w:color w:val="000000"/>
          <w:sz w:val="28"/>
          <w:szCs w:val="28"/>
        </w:rPr>
      </w:pPr>
      <w:r>
        <w:rPr>
          <w:rFonts w:ascii="Century Gothic" w:hAnsi="Century Gothic" w:cs="Century Gothic"/>
          <w:color w:val="000000"/>
          <w:sz w:val="28"/>
          <w:szCs w:val="28"/>
        </w:rPr>
        <w:t>9.   Original  y  copia legible  de la  Credencial  de  Elector  (IFE), de quien solicite el Auxilio.</w:t>
      </w:r>
    </w:p>
    <w:p w:rsidR="00AF7B09" w:rsidRDefault="00F50275">
      <w:pPr>
        <w:widowControl w:val="0"/>
        <w:autoSpaceDE w:val="0"/>
        <w:autoSpaceDN w:val="0"/>
        <w:adjustRightInd w:val="0"/>
        <w:spacing w:after="0" w:line="343" w:lineRule="exact"/>
        <w:ind w:left="100" w:right="67"/>
        <w:jc w:val="both"/>
        <w:rPr>
          <w:rFonts w:ascii="Century Gothic" w:hAnsi="Century Gothic" w:cs="Century Gothic"/>
          <w:color w:val="000000"/>
          <w:sz w:val="28"/>
          <w:szCs w:val="28"/>
        </w:rPr>
      </w:pPr>
      <w:r>
        <w:rPr>
          <w:rFonts w:ascii="Century Gothic" w:hAnsi="Century Gothic" w:cs="Century Gothic"/>
          <w:color w:val="000000"/>
          <w:position w:val="-1"/>
          <w:sz w:val="28"/>
          <w:szCs w:val="28"/>
        </w:rPr>
        <w:t>10.Original del Acta de Nacimiento del miembro de la Comisión</w:t>
      </w:r>
    </w:p>
    <w:p w:rsidR="00AF7B09" w:rsidRDefault="00F50275">
      <w:pPr>
        <w:widowControl w:val="0"/>
        <w:autoSpaceDE w:val="0"/>
        <w:autoSpaceDN w:val="0"/>
        <w:adjustRightInd w:val="0"/>
        <w:spacing w:after="0" w:line="240" w:lineRule="auto"/>
        <w:ind w:left="100" w:right="3933"/>
        <w:jc w:val="both"/>
        <w:rPr>
          <w:rFonts w:ascii="Century Gothic" w:hAnsi="Century Gothic" w:cs="Century Gothic"/>
          <w:color w:val="000000"/>
          <w:sz w:val="28"/>
          <w:szCs w:val="28"/>
        </w:rPr>
      </w:pPr>
      <w:r>
        <w:rPr>
          <w:rFonts w:ascii="Century Gothic" w:hAnsi="Century Gothic" w:cs="Century Gothic"/>
          <w:color w:val="000000"/>
          <w:sz w:val="28"/>
          <w:szCs w:val="28"/>
        </w:rPr>
        <w:t>(cuando lo soliciten los ascendentes).</w:t>
      </w:r>
    </w:p>
    <w:p w:rsidR="00AF7B09" w:rsidRDefault="00F50275">
      <w:pPr>
        <w:widowControl w:val="0"/>
        <w:autoSpaceDE w:val="0"/>
        <w:autoSpaceDN w:val="0"/>
        <w:adjustRightInd w:val="0"/>
        <w:spacing w:after="0" w:line="240" w:lineRule="auto"/>
        <w:ind w:left="100" w:right="78"/>
        <w:rPr>
          <w:rFonts w:ascii="Century Gothic" w:hAnsi="Century Gothic" w:cs="Century Gothic"/>
          <w:color w:val="000000"/>
          <w:sz w:val="28"/>
          <w:szCs w:val="28"/>
        </w:rPr>
      </w:pPr>
      <w:r>
        <w:rPr>
          <w:rFonts w:ascii="Century Gothic" w:hAnsi="Century Gothic" w:cs="Century Gothic"/>
          <w:color w:val="000000"/>
          <w:sz w:val="28"/>
          <w:szCs w:val="28"/>
        </w:rPr>
        <w:t>11.Original   del   Acta   de   Matrimonio   (cuando   lo   solicite   el cónyuge).</w:t>
      </w:r>
    </w:p>
    <w:p w:rsidR="00AF7B09" w:rsidRDefault="00F50275">
      <w:pPr>
        <w:widowControl w:val="0"/>
        <w:autoSpaceDE w:val="0"/>
        <w:autoSpaceDN w:val="0"/>
        <w:adjustRightInd w:val="0"/>
        <w:spacing w:before="2" w:after="0" w:line="240" w:lineRule="auto"/>
        <w:ind w:left="100" w:right="66"/>
        <w:rPr>
          <w:rFonts w:ascii="Century Gothic" w:hAnsi="Century Gothic" w:cs="Century Gothic"/>
          <w:color w:val="000000"/>
          <w:sz w:val="28"/>
          <w:szCs w:val="28"/>
        </w:rPr>
      </w:pPr>
      <w:r>
        <w:rPr>
          <w:rFonts w:ascii="Century Gothic" w:hAnsi="Century Gothic" w:cs="Century Gothic"/>
          <w:color w:val="000000"/>
          <w:sz w:val="28"/>
          <w:szCs w:val="28"/>
        </w:rPr>
        <w:t>12.Declaratoria   de     Curador   o   Tutor.   (en   caso   de   que   los beneficiarios sean menores de edad o incapacitados).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40.-  Para  obtener  el  pago  del  Auxilio  por  Incapacidad Total  y  Permanente  o  en  su  caso  Invalidez,  el  miembro  o  su representante legítimo deberán presentar: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1754"/>
        <w:jc w:val="both"/>
        <w:rPr>
          <w:rFonts w:ascii="Century Gothic" w:hAnsi="Century Gothic" w:cs="Century Gothic"/>
          <w:color w:val="000000"/>
          <w:sz w:val="28"/>
          <w:szCs w:val="28"/>
        </w:rPr>
      </w:pPr>
      <w:r>
        <w:rPr>
          <w:rFonts w:ascii="Century Gothic" w:hAnsi="Century Gothic" w:cs="Century Gothic"/>
          <w:color w:val="000000"/>
          <w:sz w:val="28"/>
          <w:szCs w:val="28"/>
        </w:rPr>
        <w:t>1.   Solicitud  (se elabora en la oficina de la Comisión).</w:t>
      </w:r>
    </w:p>
    <w:p w:rsidR="00AF7B09" w:rsidRDefault="00F50275">
      <w:pPr>
        <w:widowControl w:val="0"/>
        <w:autoSpaceDE w:val="0"/>
        <w:autoSpaceDN w:val="0"/>
        <w:adjustRightInd w:val="0"/>
        <w:spacing w:after="0" w:line="240" w:lineRule="auto"/>
        <w:ind w:left="100" w:right="5393"/>
        <w:jc w:val="both"/>
        <w:rPr>
          <w:rFonts w:ascii="Century Gothic" w:hAnsi="Century Gothic" w:cs="Century Gothic"/>
          <w:color w:val="000000"/>
          <w:sz w:val="28"/>
          <w:szCs w:val="28"/>
        </w:rPr>
      </w:pPr>
      <w:r>
        <w:rPr>
          <w:rFonts w:ascii="Century Gothic" w:hAnsi="Century Gothic" w:cs="Century Gothic"/>
          <w:color w:val="000000"/>
          <w:sz w:val="28"/>
          <w:szCs w:val="28"/>
        </w:rPr>
        <w:t>2.   Hoja Única de Servicios.</w:t>
      </w:r>
    </w:p>
    <w:p w:rsidR="00AF7B09" w:rsidRDefault="00F50275">
      <w:pPr>
        <w:widowControl w:val="0"/>
        <w:autoSpaceDE w:val="0"/>
        <w:autoSpaceDN w:val="0"/>
        <w:adjustRightInd w:val="0"/>
        <w:spacing w:after="0" w:line="240" w:lineRule="auto"/>
        <w:ind w:left="100" w:right="7000"/>
        <w:jc w:val="both"/>
        <w:rPr>
          <w:rFonts w:ascii="Century Gothic" w:hAnsi="Century Gothic" w:cs="Century Gothic"/>
          <w:color w:val="000000"/>
          <w:sz w:val="28"/>
          <w:szCs w:val="28"/>
        </w:rPr>
      </w:pPr>
      <w:r>
        <w:rPr>
          <w:rFonts w:ascii="Century Gothic" w:hAnsi="Century Gothic" w:cs="Century Gothic"/>
          <w:color w:val="000000"/>
          <w:sz w:val="28"/>
          <w:szCs w:val="28"/>
        </w:rPr>
        <w:t>3.   Baja Oficial.</w:t>
      </w:r>
    </w:p>
    <w:p w:rsidR="00AF7B09" w:rsidRDefault="00F50275">
      <w:pPr>
        <w:widowControl w:val="0"/>
        <w:autoSpaceDE w:val="0"/>
        <w:autoSpaceDN w:val="0"/>
        <w:adjustRightInd w:val="0"/>
        <w:spacing w:after="0" w:line="240" w:lineRule="auto"/>
        <w:ind w:left="100" w:right="2600"/>
        <w:jc w:val="both"/>
        <w:rPr>
          <w:rFonts w:ascii="Century Gothic" w:hAnsi="Century Gothic" w:cs="Century Gothic"/>
          <w:color w:val="000000"/>
          <w:sz w:val="28"/>
          <w:szCs w:val="28"/>
        </w:rPr>
      </w:pPr>
      <w:r>
        <w:rPr>
          <w:rFonts w:ascii="Century Gothic" w:hAnsi="Century Gothic" w:cs="Century Gothic"/>
          <w:color w:val="000000"/>
          <w:sz w:val="28"/>
          <w:szCs w:val="28"/>
        </w:rPr>
        <w:t>4.   Original y copia legible del Recibo de Pago.</w:t>
      </w:r>
    </w:p>
    <w:p w:rsidR="00AF7B09" w:rsidRDefault="00AF7B09">
      <w:pPr>
        <w:widowControl w:val="0"/>
        <w:autoSpaceDE w:val="0"/>
        <w:autoSpaceDN w:val="0"/>
        <w:adjustRightInd w:val="0"/>
        <w:spacing w:after="0" w:line="240" w:lineRule="auto"/>
        <w:ind w:left="100" w:right="2600"/>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941"/>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5.   Original y copia legible de la Credencial de Elector (IFE).</w:t>
      </w:r>
    </w:p>
    <w:p w:rsidR="00AF7B09" w:rsidRDefault="00F50275">
      <w:pPr>
        <w:widowControl w:val="0"/>
        <w:autoSpaceDE w:val="0"/>
        <w:autoSpaceDN w:val="0"/>
        <w:adjustRightInd w:val="0"/>
        <w:spacing w:after="0" w:line="240" w:lineRule="auto"/>
        <w:ind w:left="100" w:right="3308"/>
        <w:jc w:val="both"/>
        <w:rPr>
          <w:rFonts w:ascii="Century Gothic" w:hAnsi="Century Gothic" w:cs="Century Gothic"/>
          <w:color w:val="000000"/>
          <w:sz w:val="28"/>
          <w:szCs w:val="28"/>
        </w:rPr>
      </w:pPr>
      <w:r>
        <w:rPr>
          <w:rFonts w:ascii="Century Gothic" w:hAnsi="Century Gothic" w:cs="Century Gothic"/>
          <w:color w:val="000000"/>
          <w:sz w:val="28"/>
          <w:szCs w:val="28"/>
        </w:rPr>
        <w:t>6.   Carta de Designación de Beneficiarios.</w:t>
      </w:r>
    </w:p>
    <w:p w:rsidR="00AF7B09" w:rsidRDefault="00F50275">
      <w:pPr>
        <w:widowControl w:val="0"/>
        <w:autoSpaceDE w:val="0"/>
        <w:autoSpaceDN w:val="0"/>
        <w:adjustRightInd w:val="0"/>
        <w:spacing w:before="2" w:after="0" w:line="240" w:lineRule="auto"/>
        <w:ind w:left="100" w:right="71"/>
        <w:rPr>
          <w:rFonts w:ascii="Century Gothic" w:hAnsi="Century Gothic" w:cs="Century Gothic"/>
          <w:color w:val="000000"/>
          <w:sz w:val="28"/>
          <w:szCs w:val="28"/>
        </w:rPr>
      </w:pPr>
      <w:r>
        <w:rPr>
          <w:rFonts w:ascii="Century Gothic" w:hAnsi="Century Gothic" w:cs="Century Gothic"/>
          <w:color w:val="000000"/>
          <w:sz w:val="28"/>
          <w:szCs w:val="28"/>
        </w:rPr>
        <w:t>7.   Dictamen Médico expedido por el Departamento de Medicina del Trabajo del Instituto.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Si el miembro de la Comisión no pudiere valerse por sí mismo, para el   cobro   del   Auxilio   por   Invalidez      e   Incapacidad   Total   y Permanente, el solicitante deberá presentar   además   de   lo   ya solicitado,   la documentación que a continuación se describe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8"/>
        <w:rPr>
          <w:rFonts w:ascii="Century Gothic" w:hAnsi="Century Gothic" w:cs="Century Gothic"/>
          <w:color w:val="000000"/>
          <w:sz w:val="28"/>
          <w:szCs w:val="28"/>
        </w:rPr>
      </w:pPr>
      <w:r>
        <w:rPr>
          <w:rFonts w:ascii="Century Gothic" w:hAnsi="Century Gothic" w:cs="Century Gothic"/>
          <w:color w:val="000000"/>
          <w:sz w:val="28"/>
          <w:szCs w:val="28"/>
        </w:rPr>
        <w:t>1.   Original y copia legible de la Credencial  de Elector (IFE), del solicitante.</w:t>
      </w:r>
    </w:p>
    <w:p w:rsidR="00AF7B09" w:rsidRDefault="00F50275">
      <w:pPr>
        <w:widowControl w:val="0"/>
        <w:autoSpaceDE w:val="0"/>
        <w:autoSpaceDN w:val="0"/>
        <w:adjustRightInd w:val="0"/>
        <w:spacing w:after="0" w:line="343" w:lineRule="exact"/>
        <w:ind w:left="100" w:right="73"/>
        <w:jc w:val="both"/>
        <w:rPr>
          <w:rFonts w:ascii="Century Gothic" w:hAnsi="Century Gothic" w:cs="Century Gothic"/>
          <w:color w:val="000000"/>
          <w:sz w:val="28"/>
          <w:szCs w:val="28"/>
        </w:rPr>
      </w:pPr>
      <w:r>
        <w:rPr>
          <w:rFonts w:ascii="Century Gothic" w:hAnsi="Century Gothic" w:cs="Century Gothic"/>
          <w:color w:val="000000"/>
          <w:position w:val="-1"/>
          <w:sz w:val="28"/>
          <w:szCs w:val="28"/>
        </w:rPr>
        <w:t>2.   Original del Acta de Nacimiento del miembro de la Comisión</w:t>
      </w:r>
    </w:p>
    <w:p w:rsidR="00AF7B09" w:rsidRDefault="00F50275">
      <w:pPr>
        <w:widowControl w:val="0"/>
        <w:autoSpaceDE w:val="0"/>
        <w:autoSpaceDN w:val="0"/>
        <w:adjustRightInd w:val="0"/>
        <w:spacing w:after="0" w:line="240" w:lineRule="auto"/>
        <w:ind w:left="100" w:right="3780"/>
        <w:jc w:val="both"/>
        <w:rPr>
          <w:rFonts w:ascii="Century Gothic" w:hAnsi="Century Gothic" w:cs="Century Gothic"/>
          <w:color w:val="000000"/>
          <w:sz w:val="28"/>
          <w:szCs w:val="28"/>
        </w:rPr>
      </w:pPr>
      <w:r>
        <w:rPr>
          <w:rFonts w:ascii="Century Gothic" w:hAnsi="Century Gothic" w:cs="Century Gothic"/>
          <w:color w:val="000000"/>
          <w:sz w:val="28"/>
          <w:szCs w:val="28"/>
        </w:rPr>
        <w:t>(cuando  lo soliciten  los ascendentes).</w:t>
      </w:r>
    </w:p>
    <w:p w:rsidR="00AF7B09" w:rsidRDefault="00F50275">
      <w:pPr>
        <w:widowControl w:val="0"/>
        <w:autoSpaceDE w:val="0"/>
        <w:autoSpaceDN w:val="0"/>
        <w:adjustRightInd w:val="0"/>
        <w:spacing w:after="0" w:line="240" w:lineRule="auto"/>
        <w:ind w:left="100" w:right="2745"/>
        <w:jc w:val="both"/>
        <w:rPr>
          <w:rFonts w:ascii="Century Gothic" w:hAnsi="Century Gothic" w:cs="Century Gothic"/>
          <w:color w:val="000000"/>
          <w:sz w:val="28"/>
          <w:szCs w:val="28"/>
        </w:rPr>
      </w:pPr>
      <w:r>
        <w:rPr>
          <w:rFonts w:ascii="Century Gothic" w:hAnsi="Century Gothic" w:cs="Century Gothic"/>
          <w:color w:val="000000"/>
          <w:sz w:val="28"/>
          <w:szCs w:val="28"/>
        </w:rPr>
        <w:t>3.   Original del Acta de Matrimonio (cónyuge)</w:t>
      </w:r>
    </w:p>
    <w:p w:rsidR="00AF7B09" w:rsidRDefault="00F50275">
      <w:pPr>
        <w:widowControl w:val="0"/>
        <w:autoSpaceDE w:val="0"/>
        <w:autoSpaceDN w:val="0"/>
        <w:adjustRightInd w:val="0"/>
        <w:spacing w:after="0" w:line="240" w:lineRule="auto"/>
        <w:ind w:left="100" w:right="4195"/>
        <w:jc w:val="both"/>
        <w:rPr>
          <w:rFonts w:ascii="Century Gothic" w:hAnsi="Century Gothic" w:cs="Century Gothic"/>
          <w:color w:val="000000"/>
          <w:sz w:val="28"/>
          <w:szCs w:val="28"/>
        </w:rPr>
      </w:pPr>
      <w:r>
        <w:rPr>
          <w:rFonts w:ascii="Century Gothic" w:hAnsi="Century Gothic" w:cs="Century Gothic"/>
          <w:color w:val="000000"/>
          <w:sz w:val="28"/>
          <w:szCs w:val="28"/>
        </w:rPr>
        <w:t>4.   Declaratoria de Curador o Tutor.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rPr>
          <w:rFonts w:ascii="Century Gothic" w:hAnsi="Century Gothic" w:cs="Century Gothic"/>
          <w:color w:val="000000"/>
          <w:sz w:val="28"/>
          <w:szCs w:val="28"/>
        </w:rPr>
      </w:pPr>
      <w:r>
        <w:rPr>
          <w:rFonts w:ascii="Century Gothic" w:hAnsi="Century Gothic" w:cs="Century Gothic"/>
          <w:color w:val="000000"/>
          <w:sz w:val="28"/>
          <w:szCs w:val="28"/>
        </w:rPr>
        <w:t>Artículo 41.- Para obtener el pago de los Auxilios por Separación, el interesado deberá presentar:</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1754"/>
        <w:jc w:val="both"/>
        <w:rPr>
          <w:rFonts w:ascii="Century Gothic" w:hAnsi="Century Gothic" w:cs="Century Gothic"/>
          <w:color w:val="000000"/>
          <w:sz w:val="28"/>
          <w:szCs w:val="28"/>
        </w:rPr>
      </w:pPr>
      <w:r>
        <w:rPr>
          <w:rFonts w:ascii="Century Gothic" w:hAnsi="Century Gothic" w:cs="Century Gothic"/>
          <w:color w:val="000000"/>
          <w:sz w:val="28"/>
          <w:szCs w:val="28"/>
        </w:rPr>
        <w:t>1.   Solicitud  (se elabora en la oficina de la Comisión).</w:t>
      </w:r>
    </w:p>
    <w:p w:rsidR="00AF7B09" w:rsidRDefault="00F50275">
      <w:pPr>
        <w:widowControl w:val="0"/>
        <w:autoSpaceDE w:val="0"/>
        <w:autoSpaceDN w:val="0"/>
        <w:adjustRightInd w:val="0"/>
        <w:spacing w:after="0" w:line="240" w:lineRule="auto"/>
        <w:ind w:left="100" w:right="5393"/>
        <w:jc w:val="both"/>
        <w:rPr>
          <w:rFonts w:ascii="Century Gothic" w:hAnsi="Century Gothic" w:cs="Century Gothic"/>
          <w:color w:val="000000"/>
          <w:sz w:val="28"/>
          <w:szCs w:val="28"/>
        </w:rPr>
      </w:pPr>
      <w:r>
        <w:rPr>
          <w:rFonts w:ascii="Century Gothic" w:hAnsi="Century Gothic" w:cs="Century Gothic"/>
          <w:color w:val="000000"/>
          <w:sz w:val="28"/>
          <w:szCs w:val="28"/>
        </w:rPr>
        <w:t>2.   Hoja Única de Servicios.</w:t>
      </w:r>
    </w:p>
    <w:p w:rsidR="00AF7B09" w:rsidRDefault="00F50275">
      <w:pPr>
        <w:widowControl w:val="0"/>
        <w:autoSpaceDE w:val="0"/>
        <w:autoSpaceDN w:val="0"/>
        <w:adjustRightInd w:val="0"/>
        <w:spacing w:after="0" w:line="240" w:lineRule="auto"/>
        <w:ind w:left="100" w:right="7000"/>
        <w:jc w:val="both"/>
        <w:rPr>
          <w:rFonts w:ascii="Century Gothic" w:hAnsi="Century Gothic" w:cs="Century Gothic"/>
          <w:color w:val="000000"/>
          <w:sz w:val="28"/>
          <w:szCs w:val="28"/>
        </w:rPr>
      </w:pPr>
      <w:r>
        <w:rPr>
          <w:rFonts w:ascii="Century Gothic" w:hAnsi="Century Gothic" w:cs="Century Gothic"/>
          <w:color w:val="000000"/>
          <w:sz w:val="28"/>
          <w:szCs w:val="28"/>
        </w:rPr>
        <w:t>3.   Baja Oficial.</w:t>
      </w:r>
    </w:p>
    <w:p w:rsidR="00AF7B09" w:rsidRDefault="00F50275">
      <w:pPr>
        <w:widowControl w:val="0"/>
        <w:autoSpaceDE w:val="0"/>
        <w:autoSpaceDN w:val="0"/>
        <w:adjustRightInd w:val="0"/>
        <w:spacing w:after="0" w:line="240" w:lineRule="auto"/>
        <w:ind w:left="100" w:right="2603"/>
        <w:jc w:val="both"/>
        <w:rPr>
          <w:rFonts w:ascii="Century Gothic" w:hAnsi="Century Gothic" w:cs="Century Gothic"/>
          <w:color w:val="000000"/>
          <w:sz w:val="28"/>
          <w:szCs w:val="28"/>
        </w:rPr>
      </w:pPr>
      <w:r>
        <w:rPr>
          <w:rFonts w:ascii="Century Gothic" w:hAnsi="Century Gothic" w:cs="Century Gothic"/>
          <w:color w:val="000000"/>
          <w:sz w:val="28"/>
          <w:szCs w:val="28"/>
        </w:rPr>
        <w:t>4.   Original y copia legible del Recibo de Pago.</w:t>
      </w:r>
    </w:p>
    <w:p w:rsidR="00AF7B09" w:rsidRDefault="00F50275">
      <w:pPr>
        <w:widowControl w:val="0"/>
        <w:autoSpaceDE w:val="0"/>
        <w:autoSpaceDN w:val="0"/>
        <w:adjustRightInd w:val="0"/>
        <w:spacing w:after="0" w:line="240" w:lineRule="auto"/>
        <w:ind w:left="100" w:right="939"/>
        <w:jc w:val="both"/>
        <w:rPr>
          <w:rFonts w:ascii="Century Gothic" w:hAnsi="Century Gothic" w:cs="Century Gothic"/>
          <w:color w:val="000000"/>
          <w:sz w:val="28"/>
          <w:szCs w:val="28"/>
        </w:rPr>
      </w:pPr>
      <w:r>
        <w:rPr>
          <w:rFonts w:ascii="Century Gothic" w:hAnsi="Century Gothic" w:cs="Century Gothic"/>
          <w:color w:val="000000"/>
          <w:sz w:val="28"/>
          <w:szCs w:val="28"/>
        </w:rPr>
        <w:t>5.   Original y copia legible de la Credencial de Elector (IFE).</w:t>
      </w:r>
    </w:p>
    <w:p w:rsidR="00AF7B09" w:rsidRDefault="00F50275">
      <w:pPr>
        <w:widowControl w:val="0"/>
        <w:autoSpaceDE w:val="0"/>
        <w:autoSpaceDN w:val="0"/>
        <w:adjustRightInd w:val="0"/>
        <w:spacing w:after="0" w:line="240" w:lineRule="auto"/>
        <w:ind w:left="100" w:right="3308"/>
        <w:jc w:val="both"/>
        <w:rPr>
          <w:rFonts w:ascii="Century Gothic" w:hAnsi="Century Gothic" w:cs="Century Gothic"/>
          <w:color w:val="000000"/>
          <w:sz w:val="28"/>
          <w:szCs w:val="28"/>
        </w:rPr>
      </w:pPr>
      <w:r>
        <w:rPr>
          <w:rFonts w:ascii="Century Gothic" w:hAnsi="Century Gothic" w:cs="Century Gothic"/>
          <w:color w:val="000000"/>
          <w:sz w:val="28"/>
          <w:szCs w:val="28"/>
        </w:rPr>
        <w:t>6.   Carta de Designación de Beneficiarios.</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5"/>
        <w:jc w:val="both"/>
        <w:rPr>
          <w:rFonts w:ascii="Century Gothic" w:hAnsi="Century Gothic" w:cs="Century Gothic"/>
          <w:color w:val="000000"/>
          <w:sz w:val="28"/>
          <w:szCs w:val="28"/>
        </w:rPr>
      </w:pPr>
      <w:r>
        <w:rPr>
          <w:rFonts w:ascii="Century Gothic" w:hAnsi="Century Gothic" w:cs="Century Gothic"/>
          <w:color w:val="000000"/>
          <w:sz w:val="28"/>
          <w:szCs w:val="28"/>
        </w:rPr>
        <w:t>Artículo 42.- El importe de los auxilios se entregará directamente a los    interesados,    beneficiarios    o    al    apoderado    legalmente acreditado.   Solamente   se   harán   pagos   a   los   apoderados legalmente    acreditados,    cuando    se    compruebe    que    los interesados están imposibilitados para cobrarlos personalmente.</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43.-  Al  tener  la  Directiva  de  la  Comisión  integrado  el expediente para el pago del Auxilio,  en un término no mayor de cuarenta y ocho horas dictará la resolución que corresponda.</w:t>
      </w:r>
    </w:p>
    <w:p w:rsidR="00AF7B09" w:rsidRDefault="00AF7B09">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Artículo  44.-  Las  inconformidades  sobre  las    resoluciones  de  la Directiva  de  la  Comisión,  se  presentarán  ante  el  Presidente  del Comité   Ejecutivo   Nacional   del   Sindicato,   en   su   calidad   de representante   del   interés   colectivo   de   los   trabajadores   del Instituto, para que emita opinión en un plazo máximo de quince días.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Artículo 45.- Cuando la opinión del Presidente del Sindicato, a que se refiere el Artículo anterior, sea objetada por el miembro o sus beneficiarios,  estos  podrán  recurrir  en  última  instancia,  ante  el Pleno del Sindicato que resolverá en forma definitiva.</w:t>
      </w:r>
    </w:p>
    <w:p w:rsidR="00AF7B09" w:rsidRDefault="00AF7B09">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526" w:right="3687"/>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VIII.</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439" w:right="455"/>
        <w:jc w:val="center"/>
        <w:rPr>
          <w:rFonts w:ascii="Century Gothic" w:hAnsi="Century Gothic" w:cs="Century Gothic"/>
          <w:color w:val="000000"/>
          <w:sz w:val="28"/>
          <w:szCs w:val="28"/>
        </w:rPr>
      </w:pPr>
      <w:r>
        <w:rPr>
          <w:rFonts w:ascii="Century Gothic" w:hAnsi="Century Gothic" w:cs="Century Gothic"/>
          <w:b/>
          <w:bCs/>
          <w:color w:val="000000"/>
          <w:sz w:val="28"/>
          <w:szCs w:val="28"/>
        </w:rPr>
        <w:t>De la Administración y Órganos de Gobierno de la Comisión</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Artículo 46.- Artículo 46.- La Comisión Nacional de Auxilios estará administrada por una Directiva integrada por: un Presidente; un Vicepresidente; un Tesorero; un Vocal; y un suplente por cada uno de   estos   funcionarios   quienes   deberán   cubrir   las   ausencias definitivas del propietario respectivo, hasta en tanto no se designe un nuevo titular del cargo.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6"/>
        <w:jc w:val="both"/>
        <w:rPr>
          <w:rFonts w:ascii="Century Gothic" w:hAnsi="Century Gothic" w:cs="Century Gothic"/>
          <w:color w:val="000000"/>
          <w:sz w:val="28"/>
          <w:szCs w:val="28"/>
        </w:rPr>
      </w:pPr>
      <w:r>
        <w:rPr>
          <w:rFonts w:ascii="Century Gothic" w:hAnsi="Century Gothic" w:cs="Century Gothic"/>
          <w:color w:val="000000"/>
          <w:sz w:val="28"/>
          <w:szCs w:val="28"/>
        </w:rPr>
        <w:t>Los integrantes de la Directiva acreditarán su personalidad con el oficio de designación que emita la Presidencia del Sindicato.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Para el mejor cumplimiento de sus fines la Directiva contará con el apoyo de los órganos auxiliares que para tal efecto se designen en materia jurídica, contable y de rendimientos.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Artículo 47.- Los integrantes de la Directiva de la Comisión durarán en  su  encargo  el  mismo  periodo  que  la  gestión  del  Comité Ejecutivo  Nacional,  pudiendo  ser  removidos  libremente  por  el Presidente del Sindicato.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Artículo  48.-  Para  ser  funcionario  propietario  o  suplente  de  la</w:t>
      </w:r>
    </w:p>
    <w:p w:rsidR="00AF7B09" w:rsidRDefault="00F50275">
      <w:pPr>
        <w:widowControl w:val="0"/>
        <w:autoSpaceDE w:val="0"/>
        <w:autoSpaceDN w:val="0"/>
        <w:adjustRightInd w:val="0"/>
        <w:spacing w:before="2" w:after="0" w:line="240" w:lineRule="auto"/>
        <w:ind w:left="100" w:right="2102"/>
        <w:jc w:val="both"/>
        <w:rPr>
          <w:rFonts w:ascii="Century Gothic" w:hAnsi="Century Gothic" w:cs="Century Gothic"/>
          <w:color w:val="000000"/>
          <w:sz w:val="28"/>
          <w:szCs w:val="28"/>
        </w:rPr>
      </w:pPr>
      <w:r>
        <w:rPr>
          <w:rFonts w:ascii="Century Gothic" w:hAnsi="Century Gothic" w:cs="Century Gothic"/>
          <w:color w:val="000000"/>
          <w:sz w:val="28"/>
          <w:szCs w:val="28"/>
        </w:rPr>
        <w:t>Directiva, se deberán llenar los siguientes requisitos: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a)  Tener antigüedad como miembro y de aportación normal no menor de diez años.</w:t>
      </w:r>
    </w:p>
    <w:p w:rsidR="00AF7B09" w:rsidRDefault="00F50275">
      <w:pPr>
        <w:widowControl w:val="0"/>
        <w:autoSpaceDE w:val="0"/>
        <w:autoSpaceDN w:val="0"/>
        <w:adjustRightInd w:val="0"/>
        <w:spacing w:after="0" w:line="240" w:lineRule="auto"/>
        <w:ind w:left="100" w:right="74"/>
        <w:jc w:val="both"/>
        <w:rPr>
          <w:rFonts w:ascii="Century Gothic" w:hAnsi="Century Gothic" w:cs="Century Gothic"/>
          <w:color w:val="000000"/>
          <w:sz w:val="28"/>
          <w:szCs w:val="28"/>
        </w:rPr>
      </w:pPr>
      <w:r>
        <w:rPr>
          <w:rFonts w:ascii="Century Gothic" w:hAnsi="Century Gothic" w:cs="Century Gothic"/>
          <w:color w:val="000000"/>
          <w:sz w:val="28"/>
          <w:szCs w:val="28"/>
        </w:rPr>
        <w:t>b)  Estar al corriente en el cumplimiento de las obligaciones que este Reglamento impone a los miembros.</w:t>
      </w:r>
    </w:p>
    <w:p w:rsidR="00AF7B09" w:rsidRDefault="00F50275">
      <w:pPr>
        <w:widowControl w:val="0"/>
        <w:autoSpaceDE w:val="0"/>
        <w:autoSpaceDN w:val="0"/>
        <w:adjustRightInd w:val="0"/>
        <w:spacing w:before="6" w:after="0" w:line="344" w:lineRule="exact"/>
        <w:ind w:left="100" w:right="2682"/>
        <w:rPr>
          <w:rFonts w:ascii="Century Gothic" w:hAnsi="Century Gothic" w:cs="Century Gothic"/>
          <w:color w:val="000000"/>
          <w:sz w:val="28"/>
          <w:szCs w:val="28"/>
        </w:rPr>
      </w:pPr>
      <w:r>
        <w:rPr>
          <w:rFonts w:ascii="Century Gothic" w:hAnsi="Century Gothic" w:cs="Century Gothic"/>
          <w:color w:val="000000"/>
          <w:sz w:val="28"/>
          <w:szCs w:val="28"/>
        </w:rPr>
        <w:t>c)  No haber sido condenado por algún delito. d)  Ser mexicano.</w:t>
      </w:r>
    </w:p>
    <w:p w:rsidR="00AF7B09" w:rsidRDefault="00F50275">
      <w:pPr>
        <w:widowControl w:val="0"/>
        <w:autoSpaceDE w:val="0"/>
        <w:autoSpaceDN w:val="0"/>
        <w:adjustRightInd w:val="0"/>
        <w:spacing w:after="0" w:line="336" w:lineRule="exact"/>
        <w:ind w:left="100" w:right="5176"/>
        <w:jc w:val="both"/>
        <w:rPr>
          <w:rFonts w:ascii="Century Gothic" w:hAnsi="Century Gothic" w:cs="Century Gothic"/>
          <w:color w:val="000000"/>
          <w:sz w:val="28"/>
          <w:szCs w:val="28"/>
        </w:rPr>
      </w:pPr>
      <w:r>
        <w:rPr>
          <w:rFonts w:ascii="Century Gothic" w:hAnsi="Century Gothic" w:cs="Century Gothic"/>
          <w:color w:val="000000"/>
          <w:position w:val="-1"/>
          <w:sz w:val="28"/>
          <w:szCs w:val="28"/>
        </w:rPr>
        <w:t>e)  No ser menor de 21 años.</w:t>
      </w:r>
    </w:p>
    <w:p w:rsidR="00AF7B09" w:rsidRDefault="00AF7B09">
      <w:pPr>
        <w:widowControl w:val="0"/>
        <w:autoSpaceDE w:val="0"/>
        <w:autoSpaceDN w:val="0"/>
        <w:adjustRightInd w:val="0"/>
        <w:spacing w:after="0" w:line="336" w:lineRule="exact"/>
        <w:ind w:left="100" w:right="5176"/>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4"/>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Artículo  49.-  los  cargos  de  la  Directiva  son  honoríficos  y,  por  lo tanto, sin remuneración.</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3"/>
        <w:jc w:val="both"/>
        <w:rPr>
          <w:rFonts w:ascii="Century Gothic" w:hAnsi="Century Gothic" w:cs="Century Gothic"/>
          <w:color w:val="000000"/>
          <w:sz w:val="28"/>
          <w:szCs w:val="28"/>
        </w:rPr>
      </w:pPr>
      <w:r>
        <w:rPr>
          <w:rFonts w:ascii="Century Gothic" w:hAnsi="Century Gothic" w:cs="Century Gothic"/>
          <w:color w:val="000000"/>
          <w:sz w:val="28"/>
          <w:szCs w:val="28"/>
        </w:rPr>
        <w:t>Artículo  50.-  los  Órganos  del  Gobierno  y  Administración  de  la</w:t>
      </w:r>
    </w:p>
    <w:p w:rsidR="00AF7B09" w:rsidRDefault="00F50275">
      <w:pPr>
        <w:widowControl w:val="0"/>
        <w:autoSpaceDE w:val="0"/>
        <w:autoSpaceDN w:val="0"/>
        <w:adjustRightInd w:val="0"/>
        <w:spacing w:after="0" w:line="240" w:lineRule="auto"/>
        <w:ind w:left="100" w:right="2479"/>
        <w:jc w:val="both"/>
        <w:rPr>
          <w:rFonts w:ascii="Century Gothic" w:hAnsi="Century Gothic" w:cs="Century Gothic"/>
          <w:color w:val="000000"/>
          <w:sz w:val="28"/>
          <w:szCs w:val="28"/>
        </w:rPr>
      </w:pPr>
      <w:r>
        <w:rPr>
          <w:rFonts w:ascii="Century Gothic" w:hAnsi="Century Gothic" w:cs="Century Gothic"/>
          <w:color w:val="000000"/>
          <w:sz w:val="28"/>
          <w:szCs w:val="28"/>
        </w:rPr>
        <w:t>Comisión Nacional de Auxilios, son los siguientes:</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2211"/>
        <w:jc w:val="both"/>
        <w:rPr>
          <w:rFonts w:ascii="Century Gothic" w:hAnsi="Century Gothic" w:cs="Century Gothic"/>
          <w:color w:val="000000"/>
          <w:sz w:val="28"/>
          <w:szCs w:val="28"/>
        </w:rPr>
      </w:pPr>
      <w:r>
        <w:rPr>
          <w:rFonts w:ascii="Century Gothic" w:hAnsi="Century Gothic" w:cs="Century Gothic"/>
          <w:color w:val="000000"/>
          <w:sz w:val="28"/>
          <w:szCs w:val="28"/>
        </w:rPr>
        <w:t>a)  Congresos Nacionales Ordinarios del Sindicato.</w:t>
      </w: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b)  El  Pleno  del  Comité  Ejecutivo  Nacional  del  Sindicato  en  su calidad de representante del interés colectivo de los miembros de la Comisión Nacional de Auxilios.</w:t>
      </w: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c)  La Directiva de la Comisión Nacional de Auxilios, la que para el mejor desempeño de sus funciones contará con la representación legal  que  ejercerá  de  manera  conjunta  o  individual  con  las facultades de un Mandatario General, para pleitos y cobranzas y para  administrar  bienes,  con  todas  las  facultades  generales  y especiales  que  requieran  cláusula  especial  conforme  a  la  Ley, inclusive  para  emitir  y  suscribir  toda  clase  de  documentos  de crédito, en los términos de los Artículos 2554 y 2587 del Código Civil para el Distrito Federal  y los correlativos de los otros Códigos Civiles que rigen la República Mexicana, y 9° de la Ley General de Títulos y Operaciones de Crédito. De manera enunciativa y no limitativa, tendrá  asimismo,  facultades  para  desistirse,  aún  del  juicio  de amparo;   transigir;   prometer   en   árbitros;   absolver   y   articular posiciones;  rehusar,  recibir  pagos;  otorgar  y  revocar  poderes generales  y  especiales  que  no  rebasen  las  facultades  de  la directiva; presentar, ratificar y desistirse de denuncias y querellas en asuntos y ante autoridades del orden penal.</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Los Acuerdos  de la  Directiva  serán  ejecutados  por el  Delegado que  designe  o,  en  su  defecto,  por  el  Presidente  de  la  misma  o quien lo supla legalmente.</w:t>
      </w:r>
    </w:p>
    <w:p w:rsidR="00AF7B09" w:rsidRDefault="00AF7B09">
      <w:pPr>
        <w:widowControl w:val="0"/>
        <w:autoSpaceDE w:val="0"/>
        <w:autoSpaceDN w:val="0"/>
        <w:adjustRightInd w:val="0"/>
        <w:spacing w:before="4"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pPr>
      <w:r>
        <w:rPr>
          <w:rFonts w:ascii="Century Gothic" w:hAnsi="Century Gothic" w:cs="Century Gothic"/>
          <w:color w:val="000000"/>
          <w:sz w:val="28"/>
          <w:szCs w:val="28"/>
        </w:rPr>
        <w:t>Las   resoluciones   tomadas   por   los   anteriores   Organismos   de Gobierno podrán revisarse por los cuerpos superiores en el orden jerárquico señalado.</w:t>
      </w:r>
    </w:p>
    <w:p w:rsidR="00AF7B09" w:rsidRDefault="00AF7B09">
      <w:pPr>
        <w:widowControl w:val="0"/>
        <w:autoSpaceDE w:val="0"/>
        <w:autoSpaceDN w:val="0"/>
        <w:adjustRightInd w:val="0"/>
        <w:spacing w:after="0" w:line="240" w:lineRule="auto"/>
        <w:ind w:left="100" w:right="66"/>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07" w:right="3766"/>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IX.</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31" w:right="1051"/>
        <w:jc w:val="center"/>
        <w:rPr>
          <w:rFonts w:ascii="Century Gothic" w:hAnsi="Century Gothic" w:cs="Century Gothic"/>
          <w:color w:val="000000"/>
          <w:sz w:val="28"/>
          <w:szCs w:val="28"/>
        </w:rPr>
      </w:pPr>
      <w:r>
        <w:rPr>
          <w:rFonts w:ascii="Century Gothic" w:hAnsi="Century Gothic" w:cs="Century Gothic"/>
          <w:b/>
          <w:bCs/>
          <w:color w:val="000000"/>
          <w:sz w:val="28"/>
          <w:szCs w:val="28"/>
        </w:rPr>
        <w:t>De las Atribuciones y Obligaciones de los Directivos</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3264"/>
        <w:jc w:val="both"/>
        <w:rPr>
          <w:rFonts w:ascii="Century Gothic" w:hAnsi="Century Gothic" w:cs="Century Gothic"/>
          <w:color w:val="000000"/>
          <w:sz w:val="28"/>
          <w:szCs w:val="28"/>
        </w:rPr>
      </w:pPr>
      <w:r>
        <w:rPr>
          <w:rFonts w:ascii="Century Gothic" w:hAnsi="Century Gothic" w:cs="Century Gothic"/>
          <w:color w:val="000000"/>
          <w:sz w:val="28"/>
          <w:szCs w:val="28"/>
        </w:rPr>
        <w:t>Artículo 51.- Del Presidente de la Comisión: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1.   Representar legalmente a la Comisión Nacional de Auxilios en todos   los   Actos   públicos   y   privados   y   responsabilizarse   del funcionamiento de ella.</w:t>
      </w:r>
    </w:p>
    <w:p w:rsidR="00AF7B09" w:rsidRDefault="00F50275">
      <w:pPr>
        <w:widowControl w:val="0"/>
        <w:autoSpaceDE w:val="0"/>
        <w:autoSpaceDN w:val="0"/>
        <w:adjustRightInd w:val="0"/>
        <w:spacing w:after="0" w:line="240" w:lineRule="auto"/>
        <w:ind w:left="100" w:right="75"/>
        <w:jc w:val="both"/>
        <w:rPr>
          <w:rFonts w:ascii="Century Gothic" w:hAnsi="Century Gothic" w:cs="Century Gothic"/>
          <w:color w:val="000000"/>
          <w:sz w:val="28"/>
          <w:szCs w:val="28"/>
        </w:rPr>
      </w:pPr>
      <w:r>
        <w:rPr>
          <w:rFonts w:ascii="Century Gothic" w:hAnsi="Century Gothic" w:cs="Century Gothic"/>
          <w:color w:val="000000"/>
          <w:sz w:val="28"/>
          <w:szCs w:val="28"/>
        </w:rPr>
        <w:t>2.   Vigilar   la   estricta   observancia   y   cumplimiento   de   este</w:t>
      </w:r>
    </w:p>
    <w:p w:rsidR="00AF7B09" w:rsidRDefault="00F50275">
      <w:pPr>
        <w:widowControl w:val="0"/>
        <w:autoSpaceDE w:val="0"/>
        <w:autoSpaceDN w:val="0"/>
        <w:adjustRightInd w:val="0"/>
        <w:spacing w:after="0" w:line="240" w:lineRule="auto"/>
        <w:ind w:left="100" w:right="7298"/>
        <w:jc w:val="both"/>
        <w:rPr>
          <w:rFonts w:ascii="Century Gothic" w:hAnsi="Century Gothic" w:cs="Century Gothic"/>
          <w:color w:val="000000"/>
          <w:sz w:val="28"/>
          <w:szCs w:val="28"/>
        </w:rPr>
      </w:pPr>
      <w:r>
        <w:rPr>
          <w:rFonts w:ascii="Century Gothic" w:hAnsi="Century Gothic" w:cs="Century Gothic"/>
          <w:color w:val="000000"/>
          <w:sz w:val="28"/>
          <w:szCs w:val="28"/>
        </w:rPr>
        <w:t>Reglamento.</w:t>
      </w: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3.   Ordenar, en unión del Tesorero, las deducciones señaladas en el artículo 8°.</w:t>
      </w: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4.   Firmar, en unión de los demás funcionarios de la Directiva, las resoluciones   tomadas,   así   como   autorizar   la   documentación correspondiente.</w:t>
      </w: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5.   Publicar trimestralmente el movimiento contable y firmarlo en unión del Tesorero.</w:t>
      </w: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6.   Recibir  las  solicitudes  de  ingreso  y  demás  documentos  que señala el artículo 7 del Reglamento Vigente.</w:t>
      </w:r>
    </w:p>
    <w:p w:rsidR="00AF7B09" w:rsidRDefault="00F50275">
      <w:pPr>
        <w:widowControl w:val="0"/>
        <w:autoSpaceDE w:val="0"/>
        <w:autoSpaceDN w:val="0"/>
        <w:adjustRightInd w:val="0"/>
        <w:spacing w:before="6" w:after="0" w:line="344" w:lineRule="exact"/>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7.   Comprobar la personalidad de los beneficiarios o de los tutores en caso de menores de edad o incapacitados.</w:t>
      </w:r>
    </w:p>
    <w:p w:rsidR="00AF7B09" w:rsidRDefault="00AF7B09">
      <w:pPr>
        <w:widowControl w:val="0"/>
        <w:autoSpaceDE w:val="0"/>
        <w:autoSpaceDN w:val="0"/>
        <w:adjustRightInd w:val="0"/>
        <w:spacing w:before="6" w:after="0" w:line="130" w:lineRule="exact"/>
        <w:rPr>
          <w:rFonts w:ascii="Century Gothic" w:hAnsi="Century Gothic" w:cs="Century Gothic"/>
          <w:color w:val="000000"/>
          <w:sz w:val="13"/>
          <w:szCs w:val="13"/>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2627"/>
        <w:jc w:val="both"/>
        <w:rPr>
          <w:rFonts w:ascii="Century Gothic" w:hAnsi="Century Gothic" w:cs="Century Gothic"/>
          <w:color w:val="000000"/>
          <w:sz w:val="28"/>
          <w:szCs w:val="28"/>
        </w:rPr>
      </w:pPr>
      <w:r>
        <w:rPr>
          <w:rFonts w:ascii="Century Gothic" w:hAnsi="Century Gothic" w:cs="Century Gothic"/>
          <w:color w:val="000000"/>
          <w:sz w:val="28"/>
          <w:szCs w:val="28"/>
        </w:rPr>
        <w:t>Artículo 52.- Del Vicepresidente de la Comisión:</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266"/>
        <w:jc w:val="both"/>
        <w:rPr>
          <w:rFonts w:ascii="Century Gothic" w:hAnsi="Century Gothic" w:cs="Century Gothic"/>
          <w:color w:val="000000"/>
          <w:sz w:val="28"/>
          <w:szCs w:val="28"/>
        </w:rPr>
      </w:pPr>
      <w:r>
        <w:rPr>
          <w:rFonts w:ascii="Century Gothic" w:hAnsi="Century Gothic" w:cs="Century Gothic"/>
          <w:color w:val="000000"/>
          <w:sz w:val="28"/>
          <w:szCs w:val="28"/>
        </w:rPr>
        <w:t>1.   Suplir las ausencias temporales del Presidente de la Comisión.</w:t>
      </w:r>
    </w:p>
    <w:p w:rsidR="00AF7B09" w:rsidRDefault="00F50275">
      <w:pPr>
        <w:widowControl w:val="0"/>
        <w:autoSpaceDE w:val="0"/>
        <w:autoSpaceDN w:val="0"/>
        <w:adjustRightInd w:val="0"/>
        <w:spacing w:after="0" w:line="240" w:lineRule="auto"/>
        <w:ind w:left="100" w:right="76"/>
        <w:jc w:val="both"/>
        <w:rPr>
          <w:rFonts w:ascii="Century Gothic" w:hAnsi="Century Gothic" w:cs="Century Gothic"/>
          <w:color w:val="000000"/>
          <w:sz w:val="28"/>
          <w:szCs w:val="28"/>
        </w:rPr>
      </w:pPr>
      <w:r>
        <w:rPr>
          <w:rFonts w:ascii="Century Gothic" w:hAnsi="Century Gothic" w:cs="Century Gothic"/>
          <w:color w:val="000000"/>
          <w:sz w:val="28"/>
          <w:szCs w:val="28"/>
        </w:rPr>
        <w:t>2.   Firmar en unión de los demás funcionarios, la correspondencia.</w:t>
      </w: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3.   Investigar y elaborar proyectos en temas de ahorro, inversiones y  evaluación  de  riesgo  que  tengan  impacto  en  el  Fondo  de  la Comisión y que serán sometidos a la consideración de los demás funcionarios de la Directiva.</w:t>
      </w:r>
    </w:p>
    <w:p w:rsidR="00AF7B09" w:rsidRDefault="00F50275">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pPr>
      <w:r>
        <w:rPr>
          <w:rFonts w:ascii="Century Gothic" w:hAnsi="Century Gothic" w:cs="Century Gothic"/>
          <w:color w:val="000000"/>
          <w:sz w:val="28"/>
          <w:szCs w:val="28"/>
        </w:rPr>
        <w:t>4.   Proponer a los demás integrantes de la Directiva programas de actualización    y    capacitación    encaminados    a    mejorar    el funcionamiento y la toma de decisiones dentro de la Comisión en materia financiera y de procesos administrativos.</w:t>
      </w:r>
    </w:p>
    <w:p w:rsidR="00AF7B09" w:rsidRDefault="00AF7B09">
      <w:pPr>
        <w:widowControl w:val="0"/>
        <w:autoSpaceDE w:val="0"/>
        <w:autoSpaceDN w:val="0"/>
        <w:adjustRightInd w:val="0"/>
        <w:spacing w:after="0" w:line="240" w:lineRule="auto"/>
        <w:ind w:left="100" w:right="69"/>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8" w:after="0" w:line="241" w:lineRule="auto"/>
        <w:ind w:left="100" w:right="68"/>
        <w:rPr>
          <w:rFonts w:ascii="Century Gothic" w:hAnsi="Century Gothic" w:cs="Century Gothic"/>
          <w:color w:val="000000"/>
          <w:sz w:val="28"/>
          <w:szCs w:val="28"/>
        </w:rPr>
      </w:pPr>
      <w:r>
        <w:rPr>
          <w:rFonts w:ascii="Century Gothic" w:hAnsi="Century Gothic" w:cs="Century Gothic"/>
          <w:color w:val="000000"/>
          <w:sz w:val="28"/>
          <w:szCs w:val="28"/>
        </w:rPr>
        <w:lastRenderedPageBreak/>
        <w:t>5.   Cumplir   con   las   directrices   y   comisiones   que   le   sean encargadas por el Presidente de la Comisión Nacional de Auxilios.</w:t>
      </w:r>
    </w:p>
    <w:p w:rsidR="00AF7B09" w:rsidRDefault="00F50275">
      <w:pPr>
        <w:widowControl w:val="0"/>
        <w:autoSpaceDE w:val="0"/>
        <w:autoSpaceDN w:val="0"/>
        <w:adjustRightInd w:val="0"/>
        <w:spacing w:before="4" w:after="0" w:line="344" w:lineRule="exact"/>
        <w:ind w:left="100" w:right="76"/>
        <w:rPr>
          <w:rFonts w:ascii="Century Gothic" w:hAnsi="Century Gothic" w:cs="Century Gothic"/>
          <w:color w:val="000000"/>
          <w:sz w:val="28"/>
          <w:szCs w:val="28"/>
        </w:rPr>
      </w:pPr>
      <w:r>
        <w:rPr>
          <w:rFonts w:ascii="Century Gothic" w:hAnsi="Century Gothic" w:cs="Century Gothic"/>
          <w:color w:val="000000"/>
          <w:sz w:val="28"/>
          <w:szCs w:val="28"/>
        </w:rPr>
        <w:t>6.   Coadyuvar   a   la   estricta   observancia   y   cumplimiento   del presente Reglamento.</w:t>
      </w:r>
    </w:p>
    <w:p w:rsidR="00AF7B09" w:rsidRDefault="00AF7B09">
      <w:pPr>
        <w:widowControl w:val="0"/>
        <w:autoSpaceDE w:val="0"/>
        <w:autoSpaceDN w:val="0"/>
        <w:adjustRightInd w:val="0"/>
        <w:spacing w:before="6" w:after="0" w:line="130" w:lineRule="exact"/>
        <w:rPr>
          <w:rFonts w:ascii="Century Gothic" w:hAnsi="Century Gothic" w:cs="Century Gothic"/>
          <w:color w:val="000000"/>
          <w:sz w:val="13"/>
          <w:szCs w:val="13"/>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3876"/>
        <w:jc w:val="both"/>
        <w:rPr>
          <w:rFonts w:ascii="Century Gothic" w:hAnsi="Century Gothic" w:cs="Century Gothic"/>
          <w:color w:val="000000"/>
          <w:sz w:val="28"/>
          <w:szCs w:val="28"/>
        </w:rPr>
      </w:pPr>
      <w:r>
        <w:rPr>
          <w:rFonts w:ascii="Century Gothic" w:hAnsi="Century Gothic" w:cs="Century Gothic"/>
          <w:color w:val="000000"/>
          <w:sz w:val="28"/>
          <w:szCs w:val="28"/>
        </w:rPr>
        <w:t>Artículo 53.- Del Vocal de la Comisión: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1720"/>
        <w:jc w:val="both"/>
        <w:rPr>
          <w:rFonts w:ascii="Century Gothic" w:hAnsi="Century Gothic" w:cs="Century Gothic"/>
          <w:color w:val="000000"/>
          <w:sz w:val="28"/>
          <w:szCs w:val="28"/>
        </w:rPr>
      </w:pPr>
      <w:r>
        <w:rPr>
          <w:rFonts w:ascii="Century Gothic" w:hAnsi="Century Gothic" w:cs="Century Gothic"/>
          <w:color w:val="000000"/>
          <w:sz w:val="28"/>
          <w:szCs w:val="28"/>
        </w:rPr>
        <w:t>1.   Abrir expedientes para cada uno de los miembros.</w:t>
      </w:r>
    </w:p>
    <w:p w:rsidR="00AF7B09" w:rsidRDefault="00F50275">
      <w:pPr>
        <w:widowControl w:val="0"/>
        <w:autoSpaceDE w:val="0"/>
        <w:autoSpaceDN w:val="0"/>
        <w:adjustRightInd w:val="0"/>
        <w:spacing w:before="50" w:after="0" w:line="240" w:lineRule="auto"/>
        <w:ind w:left="100" w:right="77"/>
        <w:jc w:val="both"/>
        <w:rPr>
          <w:rFonts w:ascii="Century Gothic" w:hAnsi="Century Gothic" w:cs="Century Gothic"/>
          <w:color w:val="000000"/>
          <w:sz w:val="28"/>
          <w:szCs w:val="28"/>
        </w:rPr>
      </w:pPr>
      <w:r>
        <w:rPr>
          <w:rFonts w:ascii="Century Gothic" w:hAnsi="Century Gothic" w:cs="Century Gothic"/>
          <w:color w:val="000000"/>
          <w:sz w:val="28"/>
          <w:szCs w:val="28"/>
        </w:rPr>
        <w:t>2.   Firmar, en unión de los demás funcionarios, la correspondencia.</w:t>
      </w:r>
    </w:p>
    <w:p w:rsidR="00AF7B09" w:rsidRDefault="00F50275">
      <w:pPr>
        <w:widowControl w:val="0"/>
        <w:autoSpaceDE w:val="0"/>
        <w:autoSpaceDN w:val="0"/>
        <w:adjustRightInd w:val="0"/>
        <w:spacing w:before="53" w:after="0" w:line="275" w:lineRule="auto"/>
        <w:ind w:left="100" w:right="68"/>
        <w:rPr>
          <w:rFonts w:ascii="Century Gothic" w:hAnsi="Century Gothic" w:cs="Century Gothic"/>
          <w:color w:val="000000"/>
          <w:sz w:val="28"/>
          <w:szCs w:val="28"/>
        </w:rPr>
      </w:pPr>
      <w:r>
        <w:rPr>
          <w:rFonts w:ascii="Century Gothic" w:hAnsi="Century Gothic" w:cs="Century Gothic"/>
          <w:color w:val="000000"/>
          <w:sz w:val="28"/>
          <w:szCs w:val="28"/>
        </w:rPr>
        <w:t>3.   Dictaminar, en unión de los demás funcionarios de la Directiva, sobre el otorgamiento de los Auxilios.</w:t>
      </w:r>
    </w:p>
    <w:p w:rsidR="00AF7B09" w:rsidRDefault="00F50275">
      <w:pPr>
        <w:widowControl w:val="0"/>
        <w:autoSpaceDE w:val="0"/>
        <w:autoSpaceDN w:val="0"/>
        <w:adjustRightInd w:val="0"/>
        <w:spacing w:before="3" w:after="0" w:line="240" w:lineRule="auto"/>
        <w:ind w:left="100" w:right="266"/>
        <w:jc w:val="both"/>
        <w:rPr>
          <w:rFonts w:ascii="Century Gothic" w:hAnsi="Century Gothic" w:cs="Century Gothic"/>
          <w:color w:val="000000"/>
          <w:sz w:val="28"/>
          <w:szCs w:val="28"/>
        </w:rPr>
      </w:pPr>
      <w:r>
        <w:rPr>
          <w:rFonts w:ascii="Century Gothic" w:hAnsi="Century Gothic" w:cs="Century Gothic"/>
          <w:color w:val="000000"/>
          <w:sz w:val="28"/>
          <w:szCs w:val="28"/>
        </w:rPr>
        <w:t>4.   Llevar el control de las “Cartas Designación de Beneficiarios”.</w:t>
      </w:r>
    </w:p>
    <w:p w:rsidR="00AF7B09" w:rsidRDefault="00F50275">
      <w:pPr>
        <w:widowControl w:val="0"/>
        <w:autoSpaceDE w:val="0"/>
        <w:autoSpaceDN w:val="0"/>
        <w:adjustRightInd w:val="0"/>
        <w:spacing w:before="50"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5.   Al pagar los Auxilios previstos en este Reglamento, cancelar los</w:t>
      </w:r>
    </w:p>
    <w:p w:rsidR="00AF7B09" w:rsidRDefault="00F50275">
      <w:pPr>
        <w:widowControl w:val="0"/>
        <w:autoSpaceDE w:val="0"/>
        <w:autoSpaceDN w:val="0"/>
        <w:adjustRightInd w:val="0"/>
        <w:spacing w:before="52" w:after="0" w:line="240" w:lineRule="auto"/>
        <w:ind w:left="100" w:right="2214"/>
        <w:jc w:val="both"/>
        <w:rPr>
          <w:rFonts w:ascii="Century Gothic" w:hAnsi="Century Gothic" w:cs="Century Gothic"/>
          <w:color w:val="000000"/>
          <w:sz w:val="28"/>
          <w:szCs w:val="28"/>
        </w:rPr>
      </w:pPr>
      <w:r>
        <w:rPr>
          <w:rFonts w:ascii="Century Gothic" w:hAnsi="Century Gothic" w:cs="Century Gothic"/>
          <w:color w:val="000000"/>
          <w:sz w:val="28"/>
          <w:szCs w:val="28"/>
        </w:rPr>
        <w:t>tantos de la “Carta Designación de Beneficiarios”.</w:t>
      </w:r>
    </w:p>
    <w:p w:rsidR="00AF7B09" w:rsidRDefault="00F50275">
      <w:pPr>
        <w:widowControl w:val="0"/>
        <w:autoSpaceDE w:val="0"/>
        <w:autoSpaceDN w:val="0"/>
        <w:adjustRightInd w:val="0"/>
        <w:spacing w:before="50" w:after="0" w:line="240" w:lineRule="auto"/>
        <w:ind w:left="100" w:right="3122"/>
        <w:jc w:val="both"/>
        <w:rPr>
          <w:rFonts w:ascii="Century Gothic" w:hAnsi="Century Gothic" w:cs="Century Gothic"/>
          <w:color w:val="000000"/>
          <w:sz w:val="28"/>
          <w:szCs w:val="28"/>
        </w:rPr>
      </w:pPr>
      <w:r>
        <w:rPr>
          <w:rFonts w:ascii="Century Gothic" w:hAnsi="Century Gothic" w:cs="Century Gothic"/>
          <w:color w:val="000000"/>
          <w:sz w:val="28"/>
          <w:szCs w:val="28"/>
        </w:rPr>
        <w:t>6.   Los demás que se deriven de su función.</w:t>
      </w:r>
    </w:p>
    <w:p w:rsidR="00AF7B09" w:rsidRDefault="00AF7B09">
      <w:pPr>
        <w:widowControl w:val="0"/>
        <w:autoSpaceDE w:val="0"/>
        <w:autoSpaceDN w:val="0"/>
        <w:adjustRightInd w:val="0"/>
        <w:spacing w:before="5" w:after="0" w:line="190" w:lineRule="exact"/>
        <w:rPr>
          <w:rFonts w:ascii="Century Gothic" w:hAnsi="Century Gothic" w:cs="Century Gothic"/>
          <w:color w:val="000000"/>
          <w:sz w:val="19"/>
          <w:szCs w:val="19"/>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3557"/>
        <w:jc w:val="both"/>
        <w:rPr>
          <w:rFonts w:ascii="Century Gothic" w:hAnsi="Century Gothic" w:cs="Century Gothic"/>
          <w:color w:val="000000"/>
          <w:sz w:val="28"/>
          <w:szCs w:val="28"/>
        </w:rPr>
      </w:pPr>
      <w:r>
        <w:rPr>
          <w:rFonts w:ascii="Century Gothic" w:hAnsi="Century Gothic" w:cs="Century Gothic"/>
          <w:color w:val="000000"/>
          <w:sz w:val="28"/>
          <w:szCs w:val="28"/>
        </w:rPr>
        <w:t>Artículo 54.- Del Tesorero de la Comisión:</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5596"/>
        <w:jc w:val="both"/>
        <w:rPr>
          <w:rFonts w:ascii="Century Gothic" w:hAnsi="Century Gothic" w:cs="Century Gothic"/>
          <w:color w:val="000000"/>
          <w:sz w:val="28"/>
          <w:szCs w:val="28"/>
        </w:rPr>
      </w:pPr>
      <w:r>
        <w:rPr>
          <w:rFonts w:ascii="Century Gothic" w:hAnsi="Century Gothic" w:cs="Century Gothic"/>
          <w:color w:val="000000"/>
          <w:sz w:val="28"/>
          <w:szCs w:val="28"/>
        </w:rPr>
        <w:t>1.   Llevar la contabilidad.</w:t>
      </w: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2.   Retirar  del  Instituto  el  importe  de  las  cuotas,  recabar  las tabulaciones de las cuotas para su aplicación a las cuentas de aportaciones, así como los resúmenes de nóminas para efectos de ajuste.</w:t>
      </w:r>
    </w:p>
    <w:p w:rsidR="00AF7B09" w:rsidRDefault="00F50275">
      <w:pPr>
        <w:widowControl w:val="0"/>
        <w:autoSpaceDE w:val="0"/>
        <w:autoSpaceDN w:val="0"/>
        <w:adjustRightInd w:val="0"/>
        <w:spacing w:after="0" w:line="240" w:lineRule="auto"/>
        <w:ind w:left="100" w:right="1817"/>
        <w:jc w:val="both"/>
        <w:rPr>
          <w:rFonts w:ascii="Century Gothic" w:hAnsi="Century Gothic" w:cs="Century Gothic"/>
          <w:color w:val="000000"/>
          <w:sz w:val="28"/>
          <w:szCs w:val="28"/>
        </w:rPr>
      </w:pPr>
      <w:r>
        <w:rPr>
          <w:rFonts w:ascii="Century Gothic" w:hAnsi="Century Gothic" w:cs="Century Gothic"/>
          <w:color w:val="000000"/>
          <w:sz w:val="28"/>
          <w:szCs w:val="28"/>
        </w:rPr>
        <w:t>3.   Para su publicación, elaborar el Informe trimestral.</w:t>
      </w:r>
    </w:p>
    <w:p w:rsidR="00AF7B09" w:rsidRDefault="00F50275">
      <w:pPr>
        <w:widowControl w:val="0"/>
        <w:autoSpaceDE w:val="0"/>
        <w:autoSpaceDN w:val="0"/>
        <w:adjustRightInd w:val="0"/>
        <w:spacing w:before="52" w:after="0" w:line="275" w:lineRule="auto"/>
        <w:ind w:left="100" w:right="72"/>
        <w:rPr>
          <w:rFonts w:ascii="Century Gothic" w:hAnsi="Century Gothic" w:cs="Century Gothic"/>
          <w:color w:val="000000"/>
          <w:sz w:val="28"/>
          <w:szCs w:val="28"/>
        </w:rPr>
      </w:pPr>
      <w:r>
        <w:rPr>
          <w:rFonts w:ascii="Century Gothic" w:hAnsi="Century Gothic" w:cs="Century Gothic"/>
          <w:color w:val="000000"/>
          <w:sz w:val="28"/>
          <w:szCs w:val="28"/>
        </w:rPr>
        <w:t>4.   Resolver, en unión de los demás funcionarios de la Directiva, sobre el otorgamiento de los Auxilios.</w:t>
      </w:r>
    </w:p>
    <w:p w:rsidR="00AF7B09" w:rsidRDefault="00F50275">
      <w:pPr>
        <w:widowControl w:val="0"/>
        <w:autoSpaceDE w:val="0"/>
        <w:autoSpaceDN w:val="0"/>
        <w:adjustRightInd w:val="0"/>
        <w:spacing w:before="3"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5.   Elaborar en cada caso el Dictamen Individual para el pago del</w:t>
      </w:r>
    </w:p>
    <w:p w:rsidR="00AF7B09" w:rsidRDefault="00F50275">
      <w:pPr>
        <w:widowControl w:val="0"/>
        <w:autoSpaceDE w:val="0"/>
        <w:autoSpaceDN w:val="0"/>
        <w:adjustRightInd w:val="0"/>
        <w:spacing w:before="51" w:after="0" w:line="240" w:lineRule="auto"/>
        <w:ind w:left="100" w:right="8114"/>
        <w:jc w:val="both"/>
        <w:rPr>
          <w:rFonts w:ascii="Century Gothic" w:hAnsi="Century Gothic" w:cs="Century Gothic"/>
          <w:color w:val="000000"/>
          <w:sz w:val="28"/>
          <w:szCs w:val="28"/>
        </w:rPr>
      </w:pPr>
      <w:r>
        <w:rPr>
          <w:rFonts w:ascii="Century Gothic" w:hAnsi="Century Gothic" w:cs="Century Gothic"/>
          <w:color w:val="000000"/>
          <w:sz w:val="28"/>
          <w:szCs w:val="28"/>
        </w:rPr>
        <w:t>Auxilio.</w:t>
      </w:r>
    </w:p>
    <w:p w:rsidR="00AF7B09" w:rsidRDefault="00AF7B09">
      <w:pPr>
        <w:widowControl w:val="0"/>
        <w:autoSpaceDE w:val="0"/>
        <w:autoSpaceDN w:val="0"/>
        <w:adjustRightInd w:val="0"/>
        <w:spacing w:before="5" w:after="0" w:line="190" w:lineRule="exact"/>
        <w:rPr>
          <w:rFonts w:ascii="Century Gothic" w:hAnsi="Century Gothic" w:cs="Century Gothic"/>
          <w:color w:val="000000"/>
          <w:sz w:val="19"/>
          <w:szCs w:val="19"/>
        </w:rPr>
      </w:pPr>
    </w:p>
    <w:p w:rsidR="00AF7B09" w:rsidRDefault="00F50275">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pPr>
      <w:r>
        <w:rPr>
          <w:rFonts w:ascii="Century Gothic" w:hAnsi="Century Gothic" w:cs="Century Gothic"/>
          <w:color w:val="000000"/>
          <w:sz w:val="28"/>
          <w:szCs w:val="28"/>
        </w:rPr>
        <w:t>Artículo 55.- Son obligaciones y atribuciones de manera conjunta o individual de los funcionarios de la Directiva: velar por la vivencia y   buena   marcha   de   la   Comisión,   así   como   por   el   estricto cumplimiento de este Reglamento, con facultad para promover</w:t>
      </w:r>
    </w:p>
    <w:p w:rsidR="00AF7B09" w:rsidRDefault="00AF7B09">
      <w:pPr>
        <w:widowControl w:val="0"/>
        <w:autoSpaceDE w:val="0"/>
        <w:autoSpaceDN w:val="0"/>
        <w:adjustRightInd w:val="0"/>
        <w:spacing w:after="0" w:line="240" w:lineRule="auto"/>
        <w:ind w:left="100" w:right="72"/>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F50275">
      <w:pPr>
        <w:widowControl w:val="0"/>
        <w:autoSpaceDE w:val="0"/>
        <w:autoSpaceDN w:val="0"/>
        <w:adjustRightInd w:val="0"/>
        <w:spacing w:before="40"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lastRenderedPageBreak/>
        <w:t>todos los recursos legales tendientes a estos fines, tanto judiciales como  extrajudiciales, para  lo  cual  se les  concede personalidad jurídica  que  deberá  ser  ejercida  por  el  Presidente  o,  en  su representación, por el Tesorero o Vocal.</w:t>
      </w:r>
    </w:p>
    <w:p w:rsidR="00AF7B09" w:rsidRDefault="00AF7B09">
      <w:pPr>
        <w:widowControl w:val="0"/>
        <w:autoSpaceDE w:val="0"/>
        <w:autoSpaceDN w:val="0"/>
        <w:adjustRightInd w:val="0"/>
        <w:spacing w:before="2"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pPr>
      <w:r>
        <w:rPr>
          <w:rFonts w:ascii="Century Gothic" w:hAnsi="Century Gothic" w:cs="Century Gothic"/>
          <w:color w:val="000000"/>
          <w:sz w:val="28"/>
          <w:szCs w:val="28"/>
        </w:rPr>
        <w:t>Artículo    56.-    La    Directiva    tiene    la    facultad    de    proponer modificaciones  a  la  reglamentación  vigente,  ante  el  Congreso Nacional  del  Sindicato  y/o  ante  el  Pleno  del  Comité  Ejecutivo Nacional.</w:t>
      </w:r>
    </w:p>
    <w:p w:rsidR="00AF7B09" w:rsidRDefault="00AF7B09">
      <w:pPr>
        <w:widowControl w:val="0"/>
        <w:autoSpaceDE w:val="0"/>
        <w:autoSpaceDN w:val="0"/>
        <w:adjustRightInd w:val="0"/>
        <w:spacing w:after="0" w:line="240" w:lineRule="auto"/>
        <w:ind w:left="100" w:right="67"/>
        <w:jc w:val="both"/>
        <w:rPr>
          <w:rFonts w:ascii="Century Gothic" w:hAnsi="Century Gothic" w:cs="Century Gothic"/>
          <w:color w:val="000000"/>
          <w:sz w:val="28"/>
          <w:szCs w:val="28"/>
        </w:rPr>
        <w:sectPr w:rsidR="00AF7B09">
          <w:pgSz w:w="12240" w:h="15840"/>
          <w:pgMar w:top="1380" w:right="1580" w:bottom="280" w:left="1460" w:header="0" w:footer="1003" w:gutter="0"/>
          <w:cols w:space="720"/>
          <w:noEndnote/>
        </w:sectPr>
      </w:pPr>
    </w:p>
    <w:p w:rsidR="00AF7B09" w:rsidRDefault="00AF7B09">
      <w:pPr>
        <w:widowControl w:val="0"/>
        <w:autoSpaceDE w:val="0"/>
        <w:autoSpaceDN w:val="0"/>
        <w:adjustRightInd w:val="0"/>
        <w:spacing w:before="15" w:after="0" w:line="260" w:lineRule="exact"/>
        <w:rPr>
          <w:rFonts w:ascii="Century Gothic" w:hAnsi="Century Gothic" w:cs="Century Gothic"/>
          <w:color w:val="000000"/>
          <w:sz w:val="26"/>
          <w:szCs w:val="26"/>
        </w:rPr>
      </w:pPr>
    </w:p>
    <w:p w:rsidR="00AF7B09" w:rsidRDefault="00F50275">
      <w:pPr>
        <w:widowControl w:val="0"/>
        <w:autoSpaceDE w:val="0"/>
        <w:autoSpaceDN w:val="0"/>
        <w:adjustRightInd w:val="0"/>
        <w:spacing w:before="8" w:after="0" w:line="240" w:lineRule="auto"/>
        <w:ind w:left="3646" w:right="3807"/>
        <w:jc w:val="center"/>
        <w:rPr>
          <w:rFonts w:ascii="Century Gothic" w:hAnsi="Century Gothic" w:cs="Century Gothic"/>
          <w:color w:val="000000"/>
          <w:sz w:val="28"/>
          <w:szCs w:val="28"/>
        </w:rPr>
      </w:pPr>
      <w:r>
        <w:rPr>
          <w:rFonts w:ascii="Century Gothic" w:hAnsi="Century Gothic" w:cs="Century Gothic"/>
          <w:b/>
          <w:bCs/>
          <w:color w:val="000000"/>
          <w:sz w:val="28"/>
          <w:szCs w:val="28"/>
        </w:rPr>
        <w:t>CAPÍTULO X.</w:t>
      </w:r>
    </w:p>
    <w:p w:rsidR="00AF7B09" w:rsidRDefault="00AF7B09">
      <w:pPr>
        <w:widowControl w:val="0"/>
        <w:autoSpaceDE w:val="0"/>
        <w:autoSpaceDN w:val="0"/>
        <w:adjustRightInd w:val="0"/>
        <w:spacing w:before="5"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722" w:right="743"/>
        <w:jc w:val="center"/>
        <w:rPr>
          <w:rFonts w:ascii="Century Gothic" w:hAnsi="Century Gothic" w:cs="Century Gothic"/>
          <w:color w:val="000000"/>
          <w:sz w:val="28"/>
          <w:szCs w:val="28"/>
        </w:rPr>
      </w:pPr>
      <w:r>
        <w:rPr>
          <w:rFonts w:ascii="Century Gothic" w:hAnsi="Century Gothic" w:cs="Century Gothic"/>
          <w:b/>
          <w:bCs/>
          <w:color w:val="000000"/>
          <w:sz w:val="28"/>
          <w:szCs w:val="28"/>
        </w:rPr>
        <w:t>De las Prescripciones y la Pérdida del Derecho al Auxilio</w:t>
      </w: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AF7B09">
      <w:pPr>
        <w:widowControl w:val="0"/>
        <w:autoSpaceDE w:val="0"/>
        <w:autoSpaceDN w:val="0"/>
        <w:adjustRightInd w:val="0"/>
        <w:spacing w:before="6" w:after="0" w:line="280" w:lineRule="exact"/>
        <w:rPr>
          <w:rFonts w:ascii="Century Gothic" w:hAnsi="Century Gothic" w:cs="Century Gothic"/>
          <w:color w:val="000000"/>
          <w:sz w:val="28"/>
          <w:szCs w:val="28"/>
        </w:rPr>
      </w:pPr>
    </w:p>
    <w:p w:rsidR="00AF7B09" w:rsidRDefault="00F50275">
      <w:pPr>
        <w:widowControl w:val="0"/>
        <w:autoSpaceDE w:val="0"/>
        <w:autoSpaceDN w:val="0"/>
        <w:adjustRightInd w:val="0"/>
        <w:spacing w:after="0" w:line="240" w:lineRule="auto"/>
        <w:ind w:left="100" w:right="70"/>
        <w:jc w:val="both"/>
        <w:rPr>
          <w:rFonts w:ascii="Century Gothic" w:hAnsi="Century Gothic" w:cs="Century Gothic"/>
          <w:color w:val="000000"/>
          <w:sz w:val="28"/>
          <w:szCs w:val="28"/>
        </w:rPr>
      </w:pPr>
      <w:r>
        <w:rPr>
          <w:rFonts w:ascii="Century Gothic" w:hAnsi="Century Gothic" w:cs="Century Gothic"/>
          <w:color w:val="000000"/>
          <w:sz w:val="28"/>
          <w:szCs w:val="28"/>
        </w:rPr>
        <w:t>Artículo 57.- Los beneficios que este Reglamento otorga a favor de los  miembros  de  la  Comisión  de  Auxilios  o  de  sus  beneficiarios, prescribirán en cinco  años, contando a partir, respectivamente, de    la    fecha    de    Defunción,    Invalidez,    Incapacidad    Total Permanente o Retiro del trabajador del Instituto, salvo disposición legal aplicable en contrario.</w:t>
      </w:r>
    </w:p>
    <w:p w:rsidR="00AF7B09" w:rsidRDefault="00AF7B09">
      <w:pPr>
        <w:widowControl w:val="0"/>
        <w:autoSpaceDE w:val="0"/>
        <w:autoSpaceDN w:val="0"/>
        <w:adjustRightInd w:val="0"/>
        <w:spacing w:before="3" w:after="0" w:line="140" w:lineRule="exact"/>
        <w:rPr>
          <w:rFonts w:ascii="Century Gothic" w:hAnsi="Century Gothic" w:cs="Century Gothic"/>
          <w:color w:val="000000"/>
          <w:sz w:val="14"/>
          <w:szCs w:val="14"/>
        </w:rPr>
      </w:pPr>
    </w:p>
    <w:p w:rsidR="00AF7B09" w:rsidRDefault="00AF7B09">
      <w:pPr>
        <w:widowControl w:val="0"/>
        <w:autoSpaceDE w:val="0"/>
        <w:autoSpaceDN w:val="0"/>
        <w:adjustRightInd w:val="0"/>
        <w:spacing w:after="0" w:line="200" w:lineRule="exact"/>
        <w:rPr>
          <w:rFonts w:ascii="Century Gothic" w:hAnsi="Century Gothic" w:cs="Century Gothic"/>
          <w:color w:val="000000"/>
          <w:sz w:val="20"/>
          <w:szCs w:val="20"/>
        </w:rPr>
      </w:pPr>
    </w:p>
    <w:p w:rsidR="00AF7B09" w:rsidRDefault="00F50275">
      <w:pPr>
        <w:widowControl w:val="0"/>
        <w:autoSpaceDE w:val="0"/>
        <w:autoSpaceDN w:val="0"/>
        <w:adjustRightInd w:val="0"/>
        <w:spacing w:after="0" w:line="240" w:lineRule="auto"/>
        <w:ind w:left="100" w:right="68"/>
        <w:jc w:val="both"/>
        <w:rPr>
          <w:rFonts w:ascii="Century Gothic" w:hAnsi="Century Gothic" w:cs="Century Gothic"/>
          <w:color w:val="000000"/>
          <w:sz w:val="28"/>
          <w:szCs w:val="28"/>
        </w:rPr>
      </w:pPr>
      <w:r>
        <w:rPr>
          <w:rFonts w:ascii="Century Gothic" w:hAnsi="Century Gothic" w:cs="Century Gothic"/>
          <w:color w:val="000000"/>
          <w:sz w:val="28"/>
          <w:szCs w:val="28"/>
        </w:rPr>
        <w:t>Artículo 58.- Todo extranjero que en cualquier momento adquiera la  calidad  de  trabajador  se  considerará,  por  este  solo  hecho, como mexicano respecto de cualquier interés o participación que este Reglamento reconozca a los miembros en relación con los derechos   consignados   en   el   presente   Reglamento   o   que ulteriormente  se  establezca,  en  los  términos  del  Artículo  2°;  del Reglamento de la Ley Orgánica de la Fracción I del  Artículo 27</w:t>
      </w:r>
    </w:p>
    <w:p w:rsidR="00AF7B09" w:rsidRDefault="00F50275">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pPr>
      <w:r>
        <w:rPr>
          <w:rFonts w:ascii="Century Gothic" w:hAnsi="Century Gothic" w:cs="Century Gothic"/>
          <w:color w:val="000000"/>
          <w:sz w:val="28"/>
          <w:szCs w:val="28"/>
        </w:rPr>
        <w:t>Constitucional, y se entenderá, por lo consiguiente que el miembro extranjero conviene en no invocar la protección de su Gobierno bajo  pena,  en  caso  de  faltar  a  su  convenio,  de  perder  dicho interés o participación en beneficio de la Nación Mexicana.</w:t>
      </w:r>
    </w:p>
    <w:p w:rsidR="00AF7B09" w:rsidRDefault="00AF7B09">
      <w:pPr>
        <w:widowControl w:val="0"/>
        <w:autoSpaceDE w:val="0"/>
        <w:autoSpaceDN w:val="0"/>
        <w:adjustRightInd w:val="0"/>
        <w:spacing w:after="0" w:line="240" w:lineRule="auto"/>
        <w:ind w:left="100" w:right="71"/>
        <w:jc w:val="both"/>
        <w:rPr>
          <w:rFonts w:ascii="Century Gothic" w:hAnsi="Century Gothic" w:cs="Century Gothic"/>
          <w:color w:val="000000"/>
          <w:sz w:val="28"/>
          <w:szCs w:val="28"/>
        </w:rPr>
        <w:sectPr w:rsidR="00AF7B09">
          <w:pgSz w:w="12240" w:h="15840"/>
          <w:pgMar w:top="1480" w:right="1580" w:bottom="280" w:left="1460" w:header="0" w:footer="1003" w:gutter="0"/>
          <w:cols w:space="720"/>
          <w:noEndnote/>
        </w:sectPr>
      </w:pPr>
    </w:p>
    <w:p w:rsidR="00AF7B09" w:rsidRDefault="004B281D">
      <w:pPr>
        <w:widowControl w:val="0"/>
        <w:autoSpaceDE w:val="0"/>
        <w:autoSpaceDN w:val="0"/>
        <w:adjustRightInd w:val="0"/>
        <w:spacing w:before="19" w:after="0" w:line="240" w:lineRule="auto"/>
        <w:rPr>
          <w:rFonts w:ascii="Times New Roman" w:hAnsi="Times New Roman"/>
          <w:color w:val="000000"/>
          <w:sz w:val="20"/>
          <w:szCs w:val="20"/>
        </w:rPr>
      </w:pPr>
      <w:r>
        <w:rPr>
          <w:rFonts w:ascii="Times New Roman" w:hAnsi="Times New Roman"/>
          <w:color w:val="000000"/>
          <w:sz w:val="20"/>
          <w:szCs w:val="20"/>
        </w:rPr>
        <w:lastRenderedPageBreak/>
        <w:pict>
          <v:shape id="_x0000_i1027" type="#_x0000_t75" style="width:606.7pt;height:785.65pt">
            <v:imagedata r:id="rId13" o:title="4m"/>
          </v:shape>
        </w:pict>
      </w:r>
    </w:p>
    <w:p w:rsidR="00AF7B09" w:rsidRDefault="00AF7B09">
      <w:pPr>
        <w:widowControl w:val="0"/>
        <w:autoSpaceDE w:val="0"/>
        <w:autoSpaceDN w:val="0"/>
        <w:adjustRightInd w:val="0"/>
        <w:spacing w:before="19" w:after="0" w:line="240" w:lineRule="auto"/>
        <w:rPr>
          <w:rFonts w:ascii="Times New Roman" w:hAnsi="Times New Roman"/>
          <w:color w:val="000000"/>
          <w:sz w:val="20"/>
          <w:szCs w:val="20"/>
        </w:rPr>
        <w:sectPr w:rsidR="00AF7B09">
          <w:footerReference w:type="default" r:id="rId14"/>
          <w:pgSz w:w="12220" w:h="15840"/>
          <w:pgMar w:top="-20" w:right="0" w:bottom="0" w:left="0" w:header="0" w:footer="0" w:gutter="0"/>
          <w:cols w:space="720" w:equalWidth="0">
            <w:col w:w="12220"/>
          </w:cols>
          <w:noEndnote/>
        </w:sectPr>
      </w:pPr>
    </w:p>
    <w:p w:rsidR="00F50275" w:rsidRDefault="00CE243E">
      <w:pPr>
        <w:widowControl w:val="0"/>
        <w:autoSpaceDE w:val="0"/>
        <w:autoSpaceDN w:val="0"/>
        <w:adjustRightInd w:val="0"/>
        <w:spacing w:before="59" w:after="0" w:line="240" w:lineRule="auto"/>
        <w:rPr>
          <w:rFonts w:ascii="Times New Roman" w:hAnsi="Times New Roman"/>
          <w:color w:val="000000"/>
          <w:sz w:val="20"/>
          <w:szCs w:val="20"/>
        </w:rPr>
      </w:pPr>
      <w:r>
        <w:rPr>
          <w:noProof/>
        </w:rPr>
        <w:lastRenderedPageBreak/>
        <w:pict>
          <v:shape id="_x0000_s1035" type="#_x0000_t202" style="position:absolute;margin-left:0;margin-top:2.95pt;width:609.55pt;height:787.75pt;z-index:-1;mso-position-horizontal-relative:page;mso-position-vertical-relative:text" o:allowincell="f" filled="f" stroked="f">
            <v:textbox inset="0,0,0,0">
              <w:txbxContent>
                <w:p w:rsidR="00AF7B09" w:rsidRDefault="00AF7B09">
                  <w:pPr>
                    <w:widowControl w:val="0"/>
                    <w:autoSpaceDE w:val="0"/>
                    <w:autoSpaceDN w:val="0"/>
                    <w:adjustRightInd w:val="0"/>
                    <w:spacing w:before="4" w:after="0" w:line="130" w:lineRule="exact"/>
                    <w:rPr>
                      <w:rFonts w:ascii="Times New Roman" w:hAnsi="Times New Roman"/>
                      <w:sz w:val="13"/>
                      <w:szCs w:val="13"/>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AF7B09">
                  <w:pPr>
                    <w:widowControl w:val="0"/>
                    <w:autoSpaceDE w:val="0"/>
                    <w:autoSpaceDN w:val="0"/>
                    <w:adjustRightInd w:val="0"/>
                    <w:spacing w:after="0" w:line="200" w:lineRule="exact"/>
                    <w:rPr>
                      <w:rFonts w:ascii="Times New Roman" w:hAnsi="Times New Roman"/>
                      <w:sz w:val="20"/>
                      <w:szCs w:val="20"/>
                    </w:rPr>
                  </w:pPr>
                </w:p>
                <w:p w:rsidR="00AF7B09" w:rsidRDefault="00F50275">
                  <w:pPr>
                    <w:widowControl w:val="0"/>
                    <w:autoSpaceDE w:val="0"/>
                    <w:autoSpaceDN w:val="0"/>
                    <w:adjustRightInd w:val="0"/>
                    <w:spacing w:after="0" w:line="240" w:lineRule="auto"/>
                    <w:ind w:right="1648"/>
                    <w:jc w:val="right"/>
                    <w:rPr>
                      <w:rFonts w:cs="Calibri"/>
                    </w:rPr>
                  </w:pPr>
                  <w:r>
                    <w:rPr>
                      <w:rFonts w:cs="Calibri"/>
                    </w:rPr>
                    <w:t>29</w:t>
                  </w:r>
                </w:p>
              </w:txbxContent>
            </v:textbox>
            <w10:wrap anchorx="page"/>
          </v:shape>
        </w:pict>
      </w:r>
      <w:bookmarkStart w:id="0" w:name="_GoBack"/>
      <w:r w:rsidR="004B281D">
        <w:rPr>
          <w:rFonts w:ascii="Times New Roman" w:hAnsi="Times New Roman"/>
          <w:color w:val="000000"/>
          <w:sz w:val="20"/>
          <w:szCs w:val="20"/>
        </w:rPr>
        <w:pict>
          <v:shape id="_x0000_i1028" type="#_x0000_t75" style="width:610.95pt;height:790.95pt">
            <v:imagedata r:id="rId15" o:title="5m"/>
          </v:shape>
        </w:pict>
      </w:r>
      <w:bookmarkEnd w:id="0"/>
    </w:p>
    <w:sectPr w:rsidR="00F50275">
      <w:footerReference w:type="default" r:id="rId16"/>
      <w:pgSz w:w="12240" w:h="15840"/>
      <w:pgMar w:top="0" w:right="0" w:bottom="0" w:left="0" w:header="0" w:footer="0" w:gutter="0"/>
      <w:cols w:space="720" w:equalWidth="0">
        <w:col w:w="1224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43E" w:rsidRDefault="00CE243E">
      <w:pPr>
        <w:spacing w:after="0" w:line="240" w:lineRule="auto"/>
      </w:pPr>
      <w:r>
        <w:separator/>
      </w:r>
    </w:p>
  </w:endnote>
  <w:endnote w:type="continuationSeparator" w:id="0">
    <w:p w:rsidR="00CE243E" w:rsidRDefault="00CE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B09" w:rsidRDefault="00CE243E">
    <w:pPr>
      <w:widowControl w:val="0"/>
      <w:autoSpaceDE w:val="0"/>
      <w:autoSpaceDN w:val="0"/>
      <w:adjustRightInd w:val="0"/>
      <w:spacing w:after="0" w:line="200" w:lineRule="exact"/>
      <w:rPr>
        <w:rFonts w:ascii="Times New Roman" w:hAnsi="Times New Roman"/>
        <w:sz w:val="20"/>
        <w:szCs w:val="20"/>
      </w:rPr>
    </w:pPr>
    <w:r>
      <w:rPr>
        <w:noProof/>
      </w:rPr>
      <w:pict>
        <v:shapetype id="_x0000_t202" coordsize="21600,21600" o:spt="202" path="m,l,21600r21600,l21600,xe">
          <v:stroke joinstyle="miter"/>
          <v:path gradientshapeok="t" o:connecttype="rect"/>
        </v:shapetype>
        <v:shape id="_x0000_s2049" type="#_x0000_t202" style="position:absolute;margin-left:513.85pt;margin-top:730.85pt;width:15.3pt;height:13.05pt;z-index:-1;mso-position-horizontal-relative:page;mso-position-vertical-relative:page" o:allowincell="f" filled="f" stroked="f">
          <v:textbox inset="0,0,0,0">
            <w:txbxContent>
              <w:p w:rsidR="00AF7B09" w:rsidRDefault="00F50275">
                <w:pPr>
                  <w:widowControl w:val="0"/>
                  <w:autoSpaceDE w:val="0"/>
                  <w:autoSpaceDN w:val="0"/>
                  <w:adjustRightInd w:val="0"/>
                  <w:spacing w:after="0" w:line="245" w:lineRule="exact"/>
                  <w:ind w:left="40"/>
                  <w:rPr>
                    <w:rFonts w:cs="Calibri"/>
                  </w:rPr>
                </w:pPr>
                <w:r>
                  <w:rPr>
                    <w:rFonts w:cs="Calibri"/>
                    <w:position w:val="1"/>
                  </w:rPr>
                  <w:fldChar w:fldCharType="begin"/>
                </w:r>
                <w:r>
                  <w:rPr>
                    <w:rFonts w:cs="Calibri"/>
                    <w:position w:val="1"/>
                  </w:rPr>
                  <w:instrText xml:space="preserve"> PAGE </w:instrText>
                </w:r>
                <w:r>
                  <w:rPr>
                    <w:rFonts w:cs="Calibri"/>
                    <w:position w:val="1"/>
                  </w:rPr>
                  <w:fldChar w:fldCharType="separate"/>
                </w:r>
                <w:r w:rsidR="004B281D">
                  <w:rPr>
                    <w:rFonts w:cs="Calibri"/>
                    <w:noProof/>
                    <w:position w:val="1"/>
                  </w:rPr>
                  <w:t>27</w:t>
                </w:r>
                <w:r>
                  <w:rPr>
                    <w:rFonts w:cs="Calibri"/>
                    <w:position w:val="1"/>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B09" w:rsidRDefault="00AF7B09">
    <w:pPr>
      <w:widowControl w:val="0"/>
      <w:autoSpaceDE w:val="0"/>
      <w:autoSpaceDN w:val="0"/>
      <w:adjustRightInd w:val="0"/>
      <w:spacing w:after="0" w:line="240" w:lineRule="auto"/>
      <w:rPr>
        <w:rFonts w:ascii="Times New Roman" w:hAnsi="Times New Roman"/>
        <w:sz w:val="10"/>
        <w:szCs w:val="1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B09" w:rsidRDefault="00AF7B09">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43E" w:rsidRDefault="00CE243E">
      <w:pPr>
        <w:spacing w:after="0" w:line="240" w:lineRule="auto"/>
      </w:pPr>
      <w:r>
        <w:separator/>
      </w:r>
    </w:p>
  </w:footnote>
  <w:footnote w:type="continuationSeparator" w:id="0">
    <w:p w:rsidR="00CE243E" w:rsidRDefault="00CE24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6A4"/>
    <w:rsid w:val="004B281D"/>
    <w:rsid w:val="009826A4"/>
    <w:rsid w:val="00AF7B09"/>
    <w:rsid w:val="00CE243E"/>
    <w:rsid w:val="00F502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5099</Words>
  <Characters>28050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Respaldo Consultivo</dc:creator>
  <dc:description>DocumentCreationInfo</dc:description>
  <cp:lastModifiedBy>Respaldo Consultivo</cp:lastModifiedBy>
  <cp:revision>4</cp:revision>
  <cp:lastPrinted>2017-11-17T17:29:00Z</cp:lastPrinted>
  <dcterms:created xsi:type="dcterms:W3CDTF">2017-11-17T17:15:00Z</dcterms:created>
  <dcterms:modified xsi:type="dcterms:W3CDTF">2017-11-17T17:30:00Z</dcterms:modified>
</cp:coreProperties>
</file>